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230965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p w:rsidR="00096EF6" w:rsidRDefault="00096EF6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/>
            </w:tblBorders>
            <w:tblLook w:val="00A0" w:firstRow="1" w:lastRow="0" w:firstColumn="1" w:lastColumn="0" w:noHBand="0" w:noVBand="0"/>
          </w:tblPr>
          <w:tblGrid>
            <w:gridCol w:w="7096"/>
          </w:tblGrid>
          <w:tr w:rsidR="00096EF6" w:rsidTr="00CF4E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96EF6" w:rsidRDefault="00096EF6" w:rsidP="00096EF6">
                <w:pPr>
                  <w:pStyle w:val="NoSpacing"/>
                  <w:rPr>
                    <w:rFonts w:ascii="Cambria" w:hAnsi="Cambria"/>
                  </w:rPr>
                </w:pPr>
                <w:r w:rsidRPr="00574259">
                  <w:rPr>
                    <w:rFonts w:ascii="Cambria" w:hAnsi="Cambria"/>
                    <w:sz w:val="32"/>
                  </w:rPr>
                  <w:t>Dartmouth College Library</w:t>
                </w:r>
              </w:p>
            </w:tc>
          </w:tr>
          <w:tr w:rsidR="00096EF6" w:rsidTr="00CF4EAD">
            <w:tc>
              <w:tcPr>
                <w:tcW w:w="7672" w:type="dxa"/>
              </w:tcPr>
              <w:p w:rsidR="00CF215B" w:rsidRPr="00E43EE0" w:rsidRDefault="00945025" w:rsidP="00096EF6">
                <w:pPr>
                  <w:pStyle w:val="NoSpacing"/>
                  <w:rPr>
                    <w:rFonts w:ascii="Cambria" w:hAnsi="Cambria"/>
                    <w:color w:val="4F81BD"/>
                    <w:sz w:val="72"/>
                    <w:szCs w:val="80"/>
                  </w:rPr>
                </w:pPr>
                <w:r w:rsidRPr="00E43EE0">
                  <w:rPr>
                    <w:rFonts w:ascii="Cambria" w:hAnsi="Cambria"/>
                    <w:color w:val="4F81BD"/>
                    <w:sz w:val="72"/>
                    <w:szCs w:val="80"/>
                  </w:rPr>
                  <w:t>Acquisition</w:t>
                </w:r>
                <w:r w:rsidR="00DE3E28">
                  <w:rPr>
                    <w:rFonts w:ascii="Cambria" w:hAnsi="Cambria"/>
                    <w:color w:val="4F81BD"/>
                    <w:sz w:val="72"/>
                    <w:szCs w:val="80"/>
                  </w:rPr>
                  <w:t>s</w:t>
                </w:r>
              </w:p>
              <w:p w:rsidR="00945025" w:rsidRPr="00E43EE0" w:rsidRDefault="00096EF6" w:rsidP="00096EF6">
                <w:pPr>
                  <w:pStyle w:val="NoSpacing"/>
                  <w:rPr>
                    <w:rFonts w:ascii="Cambria" w:hAnsi="Cambria"/>
                    <w:color w:val="4F81BD"/>
                    <w:sz w:val="72"/>
                    <w:szCs w:val="80"/>
                  </w:rPr>
                </w:pPr>
                <w:r w:rsidRPr="00E43EE0">
                  <w:rPr>
                    <w:rFonts w:ascii="Cambria" w:hAnsi="Cambria"/>
                    <w:color w:val="4F81BD"/>
                    <w:sz w:val="72"/>
                    <w:szCs w:val="80"/>
                  </w:rPr>
                  <w:t xml:space="preserve">Services </w:t>
                </w:r>
              </w:p>
              <w:p w:rsidR="00096EF6" w:rsidRDefault="00CF215B" w:rsidP="00096EF6">
                <w:pPr>
                  <w:pStyle w:val="NoSpacing"/>
                  <w:rPr>
                    <w:rFonts w:ascii="Cambria" w:hAnsi="Cambria"/>
                    <w:color w:val="4F81BD"/>
                    <w:sz w:val="80"/>
                    <w:szCs w:val="80"/>
                  </w:rPr>
                </w:pPr>
                <w:r w:rsidRPr="00E43EE0">
                  <w:rPr>
                    <w:rFonts w:ascii="Cambria" w:hAnsi="Cambria"/>
                    <w:color w:val="4F81BD"/>
                    <w:sz w:val="72"/>
                    <w:szCs w:val="80"/>
                  </w:rPr>
                  <w:t xml:space="preserve">Annual Report </w:t>
                </w:r>
                <w:r w:rsidR="00096EF6" w:rsidRPr="00E43EE0">
                  <w:rPr>
                    <w:rFonts w:ascii="Cambria" w:hAnsi="Cambria"/>
                    <w:color w:val="4F81BD"/>
                    <w:sz w:val="72"/>
                    <w:szCs w:val="80"/>
                  </w:rPr>
                  <w:t>FY11</w:t>
                </w:r>
              </w:p>
            </w:tc>
          </w:tr>
          <w:tr w:rsidR="00096EF6" w:rsidTr="0099006C">
            <w:trPr>
              <w:trHeight w:val="351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96EF6" w:rsidRDefault="00096EF6" w:rsidP="00096EF6">
                <w:pPr>
                  <w:pStyle w:val="NoSpacing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July 1, 2010</w:t>
                </w:r>
                <w:r w:rsidRPr="00A132C3">
                  <w:rPr>
                    <w:rFonts w:ascii="Cambria" w:hAnsi="Cambria"/>
                    <w:sz w:val="24"/>
                  </w:rPr>
                  <w:t xml:space="preserve"> to June 30, 20</w:t>
                </w:r>
                <w:r>
                  <w:rPr>
                    <w:rFonts w:ascii="Cambria" w:hAnsi="Cambria"/>
                    <w:sz w:val="24"/>
                  </w:rPr>
                  <w:t>11</w:t>
                </w:r>
              </w:p>
              <w:p w:rsidR="0099006C" w:rsidRDefault="0099006C" w:rsidP="00096EF6">
                <w:pPr>
                  <w:pStyle w:val="NoSpacing"/>
                  <w:rPr>
                    <w:rFonts w:ascii="Cambria" w:hAnsi="Cambria"/>
                    <w:sz w:val="24"/>
                  </w:rPr>
                </w:pPr>
              </w:p>
              <w:p w:rsidR="0099006C" w:rsidRDefault="0099006C" w:rsidP="00096EF6">
                <w:pPr>
                  <w:pStyle w:val="NoSpacing"/>
                  <w:rPr>
                    <w:rFonts w:ascii="Cambria" w:hAnsi="Cambria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5581019" wp14:editId="7E6E8C35">
                      <wp:extent cx="1416050" cy="2124075"/>
                      <wp:effectExtent l="0" t="0" r="0" b="9525"/>
                      <wp:docPr id="3" name="Picture 3" descr="C:\Users\Judy_Maynes\AppData\Local\Microsoft\Windows\Temporary Internet Files\Content.IE5\QS8R4IGD\MP900442364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udy_Maynes\AppData\Local\Microsoft\Windows\Temporary Internet Files\Content.IE5\QS8R4IGD\MP900442364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6050" cy="212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96EF6" w:rsidRDefault="00096EF6" w:rsidP="00096EF6"/>
        <w:p w:rsidR="00096EF6" w:rsidRDefault="00096EF6" w:rsidP="00096EF6"/>
        <w:p w:rsidR="00096EF6" w:rsidRDefault="00096EF6"/>
        <w:tbl>
          <w:tblPr>
            <w:tblpPr w:leftFromText="187" w:rightFromText="187" w:vertAnchor="page" w:horzAnchor="margin" w:tblpXSpec="center" w:tblpY="12691"/>
            <w:tblW w:w="4000" w:type="pct"/>
            <w:tblLook w:val="00A0" w:firstRow="1" w:lastRow="0" w:firstColumn="1" w:lastColumn="0" w:noHBand="0" w:noVBand="0"/>
          </w:tblPr>
          <w:tblGrid>
            <w:gridCol w:w="7096"/>
          </w:tblGrid>
          <w:tr w:rsidR="00E43EE0" w:rsidTr="00E43EE0">
            <w:tc>
              <w:tcPr>
                <w:tcW w:w="70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43EE0" w:rsidRPr="0067676D" w:rsidRDefault="00E43EE0" w:rsidP="00E43EE0">
                <w:pPr>
                  <w:pStyle w:val="NoSpacing"/>
                  <w:rPr>
                    <w:color w:val="4F81BD"/>
                    <w:sz w:val="24"/>
                  </w:rPr>
                </w:pPr>
                <w:r w:rsidRPr="0067676D">
                  <w:rPr>
                    <w:color w:val="4F81BD"/>
                    <w:sz w:val="24"/>
                  </w:rPr>
                  <w:t>Judy Maynes, Head of Acquisitions Services</w:t>
                </w:r>
              </w:p>
              <w:p w:rsidR="00E43EE0" w:rsidRPr="0067676D" w:rsidRDefault="00E43EE0" w:rsidP="00E43EE0">
                <w:pPr>
                  <w:pStyle w:val="NoSpacing"/>
                  <w:rPr>
                    <w:color w:val="4F81BD"/>
                    <w:sz w:val="24"/>
                  </w:rPr>
                </w:pPr>
                <w:r>
                  <w:rPr>
                    <w:color w:val="4F81BD"/>
                    <w:sz w:val="24"/>
                  </w:rPr>
                  <w:t>August 5, 2011</w:t>
                </w:r>
              </w:p>
              <w:p w:rsidR="00E43EE0" w:rsidRPr="0067676D" w:rsidRDefault="00E43EE0" w:rsidP="00E43EE0">
                <w:pPr>
                  <w:pStyle w:val="NoSpacing"/>
                  <w:rPr>
                    <w:color w:val="4F81BD"/>
                  </w:rPr>
                </w:pPr>
              </w:p>
            </w:tc>
          </w:tr>
        </w:tbl>
        <w:p w:rsidR="00096EF6" w:rsidRDefault="00096EF6">
          <w:r>
            <w:br w:type="page"/>
          </w:r>
        </w:p>
      </w:sdtContent>
    </w:sdt>
    <w:p w:rsidR="000E7370" w:rsidRPr="00D73FC9" w:rsidRDefault="000E7370" w:rsidP="000E7370">
      <w:pPr>
        <w:jc w:val="center"/>
        <w:rPr>
          <w:b/>
        </w:rPr>
      </w:pPr>
      <w:r w:rsidRPr="00D73FC9">
        <w:rPr>
          <w:b/>
        </w:rPr>
        <w:lastRenderedPageBreak/>
        <w:t>Dartmouth College Library</w:t>
      </w:r>
    </w:p>
    <w:p w:rsidR="004C2FA4" w:rsidRPr="00D73FC9" w:rsidRDefault="000E7370" w:rsidP="00CF215B">
      <w:pPr>
        <w:jc w:val="center"/>
        <w:rPr>
          <w:b/>
        </w:rPr>
      </w:pPr>
      <w:r w:rsidRPr="00D73FC9">
        <w:rPr>
          <w:b/>
        </w:rPr>
        <w:t>Acquisition</w:t>
      </w:r>
      <w:r w:rsidR="00DE3E28">
        <w:rPr>
          <w:b/>
        </w:rPr>
        <w:t>s</w:t>
      </w:r>
      <w:r w:rsidRPr="00D73FC9">
        <w:rPr>
          <w:b/>
        </w:rPr>
        <w:t xml:space="preserve"> Services</w:t>
      </w:r>
      <w:r w:rsidR="004C2FA4" w:rsidRPr="00D73FC9">
        <w:rPr>
          <w:b/>
        </w:rPr>
        <w:t xml:space="preserve">  </w:t>
      </w:r>
    </w:p>
    <w:p w:rsidR="000E7370" w:rsidRPr="00D73FC9" w:rsidRDefault="004C2FA4" w:rsidP="00CF215B">
      <w:pPr>
        <w:jc w:val="center"/>
        <w:rPr>
          <w:b/>
        </w:rPr>
      </w:pPr>
      <w:r w:rsidRPr="00D73FC9">
        <w:rPr>
          <w:b/>
        </w:rPr>
        <w:t>Annual Report</w:t>
      </w:r>
      <w:r w:rsidR="00CF215B" w:rsidRPr="00D73FC9">
        <w:rPr>
          <w:b/>
        </w:rPr>
        <w:t xml:space="preserve"> </w:t>
      </w:r>
      <w:r w:rsidR="003406CE" w:rsidRPr="00D73FC9">
        <w:rPr>
          <w:b/>
        </w:rPr>
        <w:t>FY</w:t>
      </w:r>
      <w:r w:rsidR="00574259" w:rsidRPr="00D73FC9">
        <w:rPr>
          <w:b/>
        </w:rPr>
        <w:t xml:space="preserve"> 20</w:t>
      </w:r>
      <w:r w:rsidR="003406CE" w:rsidRPr="00D73FC9">
        <w:rPr>
          <w:b/>
        </w:rPr>
        <w:t xml:space="preserve">11 </w:t>
      </w:r>
      <w:r w:rsidR="00574259" w:rsidRPr="00D73FC9">
        <w:rPr>
          <w:b/>
          <w:color w:val="FF0000"/>
        </w:rPr>
        <w:t xml:space="preserve"> </w:t>
      </w:r>
    </w:p>
    <w:p w:rsidR="00423E62" w:rsidRPr="001451E9" w:rsidRDefault="00423E62" w:rsidP="000E7370">
      <w:pPr>
        <w:jc w:val="center"/>
        <w:rPr>
          <w:i/>
        </w:rPr>
      </w:pPr>
    </w:p>
    <w:p w:rsidR="00845D69" w:rsidRPr="00D73FC9" w:rsidRDefault="00BB412A" w:rsidP="00BB412A">
      <w:pPr>
        <w:jc w:val="center"/>
        <w:rPr>
          <w:b/>
        </w:rPr>
      </w:pPr>
      <w:r w:rsidRPr="00D73FC9">
        <w:rPr>
          <w:b/>
        </w:rPr>
        <w:t>Executive Summary</w:t>
      </w:r>
      <w:r w:rsidR="004F495D" w:rsidRPr="00D73FC9">
        <w:rPr>
          <w:b/>
        </w:rPr>
        <w:t xml:space="preserve"> Highlights</w:t>
      </w:r>
    </w:p>
    <w:p w:rsidR="00BB412A" w:rsidRDefault="00BB412A" w:rsidP="00845D69"/>
    <w:p w:rsidR="00BB412A" w:rsidRDefault="004F495D" w:rsidP="007052EC">
      <w:pPr>
        <w:pStyle w:val="ListParagraph"/>
        <w:numPr>
          <w:ilvl w:val="0"/>
          <w:numId w:val="5"/>
        </w:numPr>
        <w:ind w:left="360"/>
        <w:textAlignment w:val="center"/>
      </w:pPr>
      <w:r>
        <w:t>Acquisitions staff p</w:t>
      </w:r>
      <w:r w:rsidR="00CF215B" w:rsidRPr="001451E9">
        <w:t xml:space="preserve">rovided </w:t>
      </w:r>
      <w:r w:rsidR="001451E9" w:rsidRPr="001451E9">
        <w:t xml:space="preserve">specialized </w:t>
      </w:r>
      <w:r w:rsidR="001451E9">
        <w:t xml:space="preserve">support and </w:t>
      </w:r>
      <w:r w:rsidR="00CF215B" w:rsidRPr="001451E9">
        <w:t xml:space="preserve">expertise to </w:t>
      </w:r>
      <w:r w:rsidR="001451E9" w:rsidRPr="001451E9">
        <w:t xml:space="preserve">the </w:t>
      </w:r>
      <w:r w:rsidR="001451E9">
        <w:t>library administration</w:t>
      </w:r>
      <w:r>
        <w:t xml:space="preserve">, </w:t>
      </w:r>
      <w:r w:rsidR="001451E9" w:rsidRPr="001451E9">
        <w:t>subject selectors</w:t>
      </w:r>
      <w:r>
        <w:t>, and the Director of Digital Resources</w:t>
      </w:r>
      <w:r w:rsidR="001451E9" w:rsidRPr="001451E9">
        <w:t xml:space="preserve"> </w:t>
      </w:r>
      <w:r w:rsidR="00CF215B" w:rsidRPr="001451E9">
        <w:t>to help meet</w:t>
      </w:r>
      <w:r w:rsidR="001451E9">
        <w:t xml:space="preserve"> a $550,000</w:t>
      </w:r>
      <w:r w:rsidR="00CF215B" w:rsidRPr="001451E9">
        <w:t xml:space="preserve"> reduction in the Information Resources allocations for fiscal year FY11.  </w:t>
      </w:r>
    </w:p>
    <w:p w:rsidR="009A6024" w:rsidRDefault="009A6024" w:rsidP="009A6024">
      <w:pPr>
        <w:pStyle w:val="ListParagraph"/>
        <w:ind w:left="0"/>
        <w:textAlignment w:val="center"/>
      </w:pPr>
    </w:p>
    <w:p w:rsidR="00BB412A" w:rsidRDefault="00D165D8" w:rsidP="007052EC">
      <w:pPr>
        <w:pStyle w:val="ListParagraph"/>
        <w:numPr>
          <w:ilvl w:val="0"/>
          <w:numId w:val="5"/>
        </w:numPr>
        <w:ind w:left="360"/>
        <w:textAlignment w:val="center"/>
      </w:pPr>
      <w:r>
        <w:t xml:space="preserve">Reallocated </w:t>
      </w:r>
      <w:r w:rsidR="00DD66A3">
        <w:t xml:space="preserve">duties </w:t>
      </w:r>
      <w:r>
        <w:t xml:space="preserve">formerly handled by the department’s Financial Specialist who transferred to the Finance Center in </w:t>
      </w:r>
      <w:r w:rsidR="00DE3E28">
        <w:t>November</w:t>
      </w:r>
      <w:r>
        <w:t xml:space="preserve"> 2010. </w:t>
      </w:r>
      <w:r w:rsidR="00DD66A3">
        <w:t xml:space="preserve"> Accomplished this by creating a Financial</w:t>
      </w:r>
      <w:r>
        <w:t xml:space="preserve"> Team</w:t>
      </w:r>
      <w:r w:rsidR="00DD66A3">
        <w:t xml:space="preserve"> </w:t>
      </w:r>
      <w:r w:rsidR="00CE3F39">
        <w:t>which substantially increased</w:t>
      </w:r>
      <w:r w:rsidR="00DD66A3">
        <w:t xml:space="preserve"> the workload of existing Acquisitions staff, including the department head, </w:t>
      </w:r>
      <w:r w:rsidR="00CE3F39">
        <w:t xml:space="preserve">in order </w:t>
      </w:r>
      <w:r w:rsidR="00DD66A3">
        <w:t>t</w:t>
      </w:r>
      <w:r>
        <w:t>o</w:t>
      </w:r>
      <w:r w:rsidR="00CE3F39">
        <w:t xml:space="preserve"> adequately</w:t>
      </w:r>
      <w:r>
        <w:t xml:space="preserve"> absorb </w:t>
      </w:r>
      <w:r w:rsidR="00CE3F39">
        <w:t>these high-priority financial responsibilities</w:t>
      </w:r>
      <w:r w:rsidR="00DD66A3">
        <w:t>.</w:t>
      </w:r>
    </w:p>
    <w:p w:rsidR="009A6024" w:rsidRDefault="009A6024" w:rsidP="009A6024">
      <w:pPr>
        <w:pStyle w:val="ListParagraph"/>
        <w:ind w:left="0"/>
        <w:textAlignment w:val="center"/>
      </w:pPr>
    </w:p>
    <w:p w:rsidR="009A6024" w:rsidRDefault="009A6024" w:rsidP="007052EC">
      <w:pPr>
        <w:pStyle w:val="ListParagraph"/>
        <w:numPr>
          <w:ilvl w:val="0"/>
          <w:numId w:val="5"/>
        </w:numPr>
        <w:ind w:left="360"/>
        <w:textAlignment w:val="center"/>
      </w:pPr>
      <w:r>
        <w:t>Improved communication</w:t>
      </w:r>
      <w:r w:rsidR="00CE3F39">
        <w:t>s</w:t>
      </w:r>
      <w:r>
        <w:t xml:space="preserve"> to library staff about Acquisitions activities by writing a series of </w:t>
      </w:r>
      <w:r w:rsidRPr="004F495D">
        <w:rPr>
          <w:i/>
        </w:rPr>
        <w:t>Acquisitions Updates</w:t>
      </w:r>
      <w:r>
        <w:t xml:space="preserve">.  </w:t>
      </w:r>
    </w:p>
    <w:p w:rsidR="009A6024" w:rsidRDefault="009A6024" w:rsidP="009A6024">
      <w:pPr>
        <w:pStyle w:val="ListParagraph"/>
        <w:ind w:left="360"/>
      </w:pPr>
    </w:p>
    <w:p w:rsidR="009A6024" w:rsidRDefault="009A6024" w:rsidP="007052EC">
      <w:pPr>
        <w:pStyle w:val="ListParagraph"/>
        <w:numPr>
          <w:ilvl w:val="0"/>
          <w:numId w:val="5"/>
        </w:numPr>
        <w:ind w:left="360"/>
        <w:textAlignment w:val="center"/>
      </w:pPr>
      <w:r>
        <w:t xml:space="preserve">To develop </w:t>
      </w:r>
      <w:r w:rsidR="00CE3F39">
        <w:t xml:space="preserve">staff </w:t>
      </w:r>
      <w:r>
        <w:t>expertise</w:t>
      </w:r>
      <w:r w:rsidR="00DE3E28">
        <w:t xml:space="preserve"> </w:t>
      </w:r>
      <w:r w:rsidR="00CE3F39">
        <w:t xml:space="preserve">to meet a growing need for </w:t>
      </w:r>
      <w:r>
        <w:t xml:space="preserve">collection assessment and analysis services for the library, </w:t>
      </w:r>
      <w:r w:rsidR="00CE3F39">
        <w:t xml:space="preserve">Acquisitions </w:t>
      </w:r>
      <w:r>
        <w:t>reallocated the open F</w:t>
      </w:r>
      <w:r w:rsidR="00CE3F39">
        <w:t>inancial Specialist position to create</w:t>
      </w:r>
      <w:r>
        <w:t xml:space="preserve"> a new</w:t>
      </w:r>
      <w:r w:rsidR="00B6266D">
        <w:t xml:space="preserve"> position as</w:t>
      </w:r>
      <w:r>
        <w:t xml:space="preserve"> Collection Assessment</w:t>
      </w:r>
      <w:r w:rsidR="00B6266D">
        <w:t xml:space="preserve"> and Analysis Librarian to begin in the fall of 2011. We launched</w:t>
      </w:r>
      <w:r>
        <w:t xml:space="preserve"> a national search in May 2011, completed the phone interview phase in June 2011, and </w:t>
      </w:r>
      <w:r w:rsidR="00B6266D">
        <w:t>held campus interviews in</w:t>
      </w:r>
      <w:r>
        <w:t xml:space="preserve"> July 2011.</w:t>
      </w:r>
    </w:p>
    <w:p w:rsidR="00D165D8" w:rsidRDefault="00D165D8" w:rsidP="009A6024">
      <w:pPr>
        <w:pStyle w:val="ListParagraph"/>
        <w:ind w:left="0"/>
        <w:textAlignment w:val="center"/>
      </w:pPr>
    </w:p>
    <w:p w:rsidR="00D165D8" w:rsidRDefault="00936A16" w:rsidP="007052EC">
      <w:pPr>
        <w:pStyle w:val="ListParagraph"/>
        <w:numPr>
          <w:ilvl w:val="0"/>
          <w:numId w:val="5"/>
        </w:numPr>
        <w:ind w:left="360"/>
        <w:textAlignment w:val="center"/>
      </w:pPr>
      <w:r w:rsidRPr="00936A16">
        <w:rPr>
          <w:i/>
        </w:rPr>
        <w:t>Green Workflow Design:</w:t>
      </w:r>
      <w:r>
        <w:t xml:space="preserve"> r</w:t>
      </w:r>
      <w:r w:rsidR="00B6266D">
        <w:t xml:space="preserve">edesigned the database for managing the annual cycle of subscription </w:t>
      </w:r>
      <w:r w:rsidR="00490350">
        <w:t>cancellation</w:t>
      </w:r>
      <w:r w:rsidR="00B6266D">
        <w:t>s</w:t>
      </w:r>
      <w:r w:rsidR="00490350">
        <w:t xml:space="preserve"> </w:t>
      </w:r>
      <w:r>
        <w:t>and</w:t>
      </w:r>
      <w:r w:rsidR="00B6266D">
        <w:t xml:space="preserve"> transition</w:t>
      </w:r>
      <w:r>
        <w:t>s from print</w:t>
      </w:r>
      <w:r w:rsidR="00B6266D">
        <w:t xml:space="preserve"> </w:t>
      </w:r>
      <w:r w:rsidR="00490350">
        <w:t>to digital formats</w:t>
      </w:r>
      <w:r w:rsidR="00B6266D">
        <w:t xml:space="preserve"> to increase the efficiency of this work</w:t>
      </w:r>
      <w:r>
        <w:t xml:space="preserve"> and eliminate the use of paper.</w:t>
      </w:r>
      <w:r w:rsidR="00B6266D">
        <w:t xml:space="preserve"> </w:t>
      </w:r>
      <w:r w:rsidR="00490350">
        <w:t xml:space="preserve"> </w:t>
      </w:r>
      <w:r w:rsidR="00B6266D">
        <w:t xml:space="preserve">This could not have been accomplished without the </w:t>
      </w:r>
      <w:r w:rsidR="00490350">
        <w:t xml:space="preserve">significant </w:t>
      </w:r>
      <w:r>
        <w:t xml:space="preserve">technical </w:t>
      </w:r>
      <w:r w:rsidR="00490350">
        <w:t>expertise provided by</w:t>
      </w:r>
      <w:r w:rsidR="00B6266D">
        <w:t xml:space="preserve"> Paul Merchant in</w:t>
      </w:r>
      <w:r w:rsidR="00490350">
        <w:t xml:space="preserve"> the Dig</w:t>
      </w:r>
      <w:r>
        <w:t>ital Libraries Technology Group and the programmatic workflow detail provided by Rebecca Torrey.</w:t>
      </w:r>
      <w:r w:rsidR="00490350">
        <w:t xml:space="preserve">  </w:t>
      </w:r>
      <w:r w:rsidR="00B6266D">
        <w:t xml:space="preserve">All </w:t>
      </w:r>
      <w:r w:rsidR="00EA6B1B">
        <w:t xml:space="preserve">requests are </w:t>
      </w:r>
      <w:r w:rsidR="00B6266D">
        <w:t xml:space="preserve">now </w:t>
      </w:r>
      <w:r w:rsidR="00EA6B1B">
        <w:t>received,</w:t>
      </w:r>
      <w:r w:rsidR="00B6266D">
        <w:t xml:space="preserve"> routed, managed</w:t>
      </w:r>
      <w:r w:rsidR="00EA6B1B">
        <w:t>,</w:t>
      </w:r>
      <w:r w:rsidR="00490350">
        <w:t xml:space="preserve"> and tracked</w:t>
      </w:r>
      <w:r w:rsidR="00B6266D">
        <w:t xml:space="preserve"> by </w:t>
      </w:r>
      <w:r>
        <w:t xml:space="preserve">multiple </w:t>
      </w:r>
      <w:r w:rsidR="00B6266D">
        <w:t>staff entirely within the database</w:t>
      </w:r>
      <w:r>
        <w:t>.</w:t>
      </w:r>
    </w:p>
    <w:p w:rsidR="009A6024" w:rsidRDefault="009A6024" w:rsidP="009A6024">
      <w:pPr>
        <w:pStyle w:val="ListParagraph"/>
      </w:pPr>
    </w:p>
    <w:p w:rsidR="00D4115D" w:rsidRPr="00D73FC9" w:rsidRDefault="00D4115D" w:rsidP="00D73FC9">
      <w:pPr>
        <w:jc w:val="center"/>
        <w:rPr>
          <w:b/>
        </w:rPr>
      </w:pPr>
      <w:r w:rsidRPr="00D73FC9">
        <w:rPr>
          <w:b/>
        </w:rPr>
        <w:t>Statistical Highlights</w:t>
      </w:r>
      <w:r w:rsidR="003406CE" w:rsidRPr="00D73FC9">
        <w:rPr>
          <w:b/>
        </w:rPr>
        <w:t xml:space="preserve"> </w:t>
      </w:r>
      <w:r w:rsidR="00D73FC9" w:rsidRPr="00D73FC9">
        <w:rPr>
          <w:b/>
        </w:rPr>
        <w:t xml:space="preserve"> </w:t>
      </w:r>
    </w:p>
    <w:p w:rsidR="0010495B" w:rsidRDefault="0010495B" w:rsidP="00D4115D">
      <w:pPr>
        <w:rPr>
          <w:color w:val="FF0000"/>
        </w:rPr>
      </w:pPr>
    </w:p>
    <w:p w:rsidR="0010495B" w:rsidRPr="00D73FC9" w:rsidRDefault="0010495B" w:rsidP="00D73FC9">
      <w:pPr>
        <w:rPr>
          <w:bCs/>
          <w:color w:val="000000"/>
          <w:sz w:val="22"/>
          <w:szCs w:val="22"/>
        </w:rPr>
      </w:pPr>
      <w:r w:rsidRPr="0010495B">
        <w:t xml:space="preserve">$ </w:t>
      </w:r>
      <w:r w:rsidRPr="00D73FC9">
        <w:rPr>
          <w:bCs/>
          <w:color w:val="000000"/>
          <w:sz w:val="22"/>
          <w:szCs w:val="22"/>
        </w:rPr>
        <w:t>9,024,632</w:t>
      </w:r>
      <w:r w:rsidRPr="00D73FC9">
        <w:rPr>
          <w:bCs/>
          <w:color w:val="000000"/>
          <w:sz w:val="22"/>
          <w:szCs w:val="22"/>
        </w:rPr>
        <w:tab/>
      </w:r>
      <w:r>
        <w:t>Information Resources</w:t>
      </w:r>
      <w:r w:rsidRPr="0010495B">
        <w:t xml:space="preserve"> </w:t>
      </w:r>
      <w:r w:rsidR="00D73FC9">
        <w:t>budget</w:t>
      </w:r>
      <w:r w:rsidRPr="0010495B">
        <w:t xml:space="preserve"> </w:t>
      </w:r>
    </w:p>
    <w:p w:rsidR="0010495B" w:rsidRPr="00D73FC9" w:rsidRDefault="0010495B" w:rsidP="00D73FC9">
      <w:pPr>
        <w:rPr>
          <w:bCs/>
          <w:color w:val="000000"/>
          <w:sz w:val="22"/>
          <w:szCs w:val="22"/>
        </w:rPr>
      </w:pPr>
      <w:r w:rsidRPr="00D73FC9">
        <w:rPr>
          <w:bCs/>
          <w:color w:val="000000"/>
          <w:sz w:val="22"/>
          <w:szCs w:val="22"/>
        </w:rPr>
        <w:t>$</w:t>
      </w:r>
      <w:r w:rsidRPr="00D73FC9">
        <w:rPr>
          <w:bCs/>
          <w:color w:val="000000"/>
          <w:sz w:val="22"/>
          <w:szCs w:val="22"/>
        </w:rPr>
        <w:t xml:space="preserve">    </w:t>
      </w:r>
      <w:r w:rsidRPr="00D73FC9">
        <w:rPr>
          <w:bCs/>
          <w:color w:val="000000"/>
          <w:sz w:val="22"/>
          <w:szCs w:val="22"/>
        </w:rPr>
        <w:t xml:space="preserve"> 141,263</w:t>
      </w:r>
      <w:r w:rsidRPr="00D73FC9">
        <w:rPr>
          <w:bCs/>
          <w:color w:val="000000"/>
          <w:sz w:val="22"/>
          <w:szCs w:val="22"/>
        </w:rPr>
        <w:tab/>
        <w:t>Content Utilities</w:t>
      </w:r>
      <w:r w:rsidR="00D73FC9">
        <w:rPr>
          <w:bCs/>
          <w:color w:val="000000"/>
          <w:sz w:val="22"/>
          <w:szCs w:val="22"/>
        </w:rPr>
        <w:t xml:space="preserve"> budget (to support collection content)</w:t>
      </w:r>
    </w:p>
    <w:p w:rsidR="0010495B" w:rsidRDefault="0010495B" w:rsidP="00D4115D">
      <w:pPr>
        <w:rPr>
          <w:bCs/>
          <w:color w:val="000000"/>
          <w:sz w:val="22"/>
          <w:szCs w:val="22"/>
        </w:rPr>
      </w:pPr>
    </w:p>
    <w:p w:rsidR="0010495B" w:rsidRDefault="0010495B" w:rsidP="00D4115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Acquisitions, Cataloging, and Maintenance</w:t>
      </w:r>
      <w:r w:rsidR="00E1535E">
        <w:rPr>
          <w:bCs/>
          <w:color w:val="000000"/>
          <w:sz w:val="22"/>
          <w:szCs w:val="22"/>
        </w:rPr>
        <w:t xml:space="preserve">: </w:t>
      </w:r>
      <w:r w:rsidR="00E1535E" w:rsidRPr="00130781">
        <w:rPr>
          <w:bCs/>
          <w:color w:val="000000"/>
          <w:sz w:val="22"/>
          <w:szCs w:val="22"/>
        </w:rPr>
        <w:t>(</w:t>
      </w:r>
      <w:r w:rsidR="00130781" w:rsidRPr="00130781">
        <w:rPr>
          <w:bCs/>
          <w:color w:val="000000"/>
          <w:sz w:val="22"/>
          <w:szCs w:val="22"/>
        </w:rPr>
        <w:t>See Appendices V and VI</w:t>
      </w:r>
      <w:r w:rsidRPr="00130781">
        <w:rPr>
          <w:bCs/>
          <w:color w:val="000000"/>
          <w:sz w:val="22"/>
          <w:szCs w:val="22"/>
        </w:rPr>
        <w:t>)</w:t>
      </w:r>
    </w:p>
    <w:p w:rsidR="00E1535E" w:rsidRDefault="00E1535E" w:rsidP="007052EC">
      <w:pPr>
        <w:pStyle w:val="ListParagraph"/>
        <w:numPr>
          <w:ilvl w:val="0"/>
          <w:numId w:val="18"/>
        </w:numPr>
      </w:pPr>
      <w:r>
        <w:t>Acquisition placed a total of 30,079 orders in fy11, an average of 2500 per month.</w:t>
      </w:r>
    </w:p>
    <w:p w:rsidR="00D73FC9" w:rsidRDefault="00D73FC9" w:rsidP="007052EC">
      <w:pPr>
        <w:pStyle w:val="ListParagraph"/>
        <w:numPr>
          <w:ilvl w:val="0"/>
          <w:numId w:val="18"/>
        </w:numPr>
      </w:pPr>
      <w:r>
        <w:t>77% of the Information Resources Budget supports serials and databases.</w:t>
      </w:r>
    </w:p>
    <w:p w:rsidR="00E1535E" w:rsidRDefault="00D73FC9" w:rsidP="007052EC">
      <w:pPr>
        <w:pStyle w:val="ListParagraph"/>
        <w:numPr>
          <w:ilvl w:val="0"/>
          <w:numId w:val="18"/>
        </w:numPr>
      </w:pPr>
      <w:r>
        <w:rPr>
          <w:bCs/>
          <w:color w:val="000000"/>
          <w:sz w:val="22"/>
          <w:szCs w:val="22"/>
        </w:rPr>
        <w:t xml:space="preserve">Three and </w:t>
      </w:r>
      <w:r w:rsidR="00E1535E">
        <w:rPr>
          <w:bCs/>
          <w:color w:val="000000"/>
          <w:sz w:val="22"/>
          <w:szCs w:val="22"/>
        </w:rPr>
        <w:t>Five-Year Comparison</w:t>
      </w:r>
      <w:r>
        <w:rPr>
          <w:bCs/>
          <w:color w:val="000000"/>
          <w:sz w:val="22"/>
          <w:szCs w:val="22"/>
        </w:rPr>
        <w:t>:</w:t>
      </w:r>
    </w:p>
    <w:p w:rsidR="0010495B" w:rsidRDefault="00E1535E" w:rsidP="007052EC">
      <w:pPr>
        <w:pStyle w:val="ListParagraph"/>
        <w:numPr>
          <w:ilvl w:val="1"/>
          <w:numId w:val="18"/>
        </w:numPr>
      </w:pPr>
      <w:r>
        <w:t>Total o</w:t>
      </w:r>
      <w:r w:rsidR="0010495B">
        <w:t xml:space="preserve">rders </w:t>
      </w:r>
      <w:r>
        <w:t xml:space="preserve">increased </w:t>
      </w:r>
      <w:r w:rsidR="0010495B">
        <w:t>by 4</w:t>
      </w:r>
      <w:r>
        <w:t>.0</w:t>
      </w:r>
      <w:r w:rsidR="0010495B">
        <w:t>% over a five-year period of fy07 to fy11.</w:t>
      </w:r>
    </w:p>
    <w:p w:rsidR="0010495B" w:rsidRDefault="00E1535E" w:rsidP="007052EC">
      <w:pPr>
        <w:pStyle w:val="ListParagraph"/>
        <w:numPr>
          <w:ilvl w:val="1"/>
          <w:numId w:val="18"/>
        </w:numPr>
      </w:pPr>
      <w:r>
        <w:t>Approval orders increased 143%</w:t>
      </w:r>
      <w:r w:rsidR="00E348F0">
        <w:t>;</w:t>
      </w:r>
      <w:r>
        <w:t xml:space="preserve"> firm orders decreased by </w:t>
      </w:r>
      <w:r w:rsidR="00E348F0">
        <w:t>22% over 5 years.</w:t>
      </w:r>
    </w:p>
    <w:p w:rsidR="00E1535E" w:rsidRDefault="00E1535E" w:rsidP="007052EC">
      <w:pPr>
        <w:pStyle w:val="ListParagraph"/>
        <w:numPr>
          <w:ilvl w:val="1"/>
          <w:numId w:val="18"/>
        </w:numPr>
      </w:pPr>
      <w:r>
        <w:t>Records Maintenance</w:t>
      </w:r>
      <w:r w:rsidR="00E348F0">
        <w:t xml:space="preserve"> activities have increased by 55% from fy09</w:t>
      </w:r>
    </w:p>
    <w:p w:rsidR="00E348F0" w:rsidRDefault="00E348F0" w:rsidP="007052EC">
      <w:pPr>
        <w:pStyle w:val="ListParagraph"/>
        <w:numPr>
          <w:ilvl w:val="1"/>
          <w:numId w:val="18"/>
        </w:numPr>
      </w:pPr>
      <w:r>
        <w:t>After a 24% increase in Serials Solutions Maintenance activities in fy10, we saw a 31% drop in fy11.</w:t>
      </w:r>
    </w:p>
    <w:p w:rsidR="00D73FC9" w:rsidRPr="00E0558A" w:rsidRDefault="00D73FC9" w:rsidP="00D73FC9">
      <w:pPr>
        <w:ind w:left="360"/>
      </w:pPr>
      <w:r w:rsidRPr="00E0558A">
        <w:lastRenderedPageBreak/>
        <w:t xml:space="preserve">FY11 Library Holdings for Dartmouth Fact Book  </w:t>
      </w:r>
    </w:p>
    <w:p w:rsidR="00D73FC9" w:rsidRPr="00E0558A" w:rsidRDefault="00D73FC9" w:rsidP="00D73FC9">
      <w:pPr>
        <w:ind w:left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DA132" wp14:editId="78BDEE2D">
                <wp:simplePos x="0" y="0"/>
                <wp:positionH relativeFrom="column">
                  <wp:posOffset>3143250</wp:posOffset>
                </wp:positionH>
                <wp:positionV relativeFrom="paragraph">
                  <wp:posOffset>100965</wp:posOffset>
                </wp:positionV>
                <wp:extent cx="2219325" cy="1409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C9" w:rsidRDefault="00D73FC9" w:rsidP="007052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</w:rPr>
                            </w:pPr>
                            <w:r w:rsidRPr="00E0558A">
                              <w:rPr>
                                <w:sz w:val="18"/>
                              </w:rPr>
                              <w:t>Note:  Data are for fiscal ye</w:t>
                            </w:r>
                            <w:r>
                              <w:rPr>
                                <w:sz w:val="18"/>
                              </w:rPr>
                              <w:t>ar July 1, 2010 - June 30, 2011</w:t>
                            </w:r>
                            <w:r w:rsidRPr="00E0558A">
                              <w:rPr>
                                <w:sz w:val="18"/>
                              </w:rPr>
                              <w:t xml:space="preserve">.  </w:t>
                            </w:r>
                          </w:p>
                          <w:p w:rsidR="00D73FC9" w:rsidRPr="00E0558A" w:rsidRDefault="00D73FC9" w:rsidP="007052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</w:rPr>
                            </w:pPr>
                            <w:r w:rsidRPr="00E0558A">
                              <w:rPr>
                                <w:sz w:val="18"/>
                              </w:rPr>
                              <w:t>*Includes electronic journals, collections, databases, and monographs.  Networked Resources data for individual libraries are not applicable.  **There may be duplicate counts of electronic serial titles between Total and Grand Total.</w:t>
                            </w:r>
                          </w:p>
                          <w:p w:rsidR="00D73FC9" w:rsidRDefault="00D73FC9" w:rsidP="00D73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7.95pt;width:17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">
                <v:textbox>
                  <w:txbxContent>
                    <w:p w:rsidR="00D73FC9" w:rsidRDefault="00D73FC9" w:rsidP="007052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</w:rPr>
                      </w:pPr>
                      <w:r w:rsidRPr="00E0558A">
                        <w:rPr>
                          <w:sz w:val="18"/>
                        </w:rPr>
                        <w:t>Note:  Data are for fiscal ye</w:t>
                      </w:r>
                      <w:r>
                        <w:rPr>
                          <w:sz w:val="18"/>
                        </w:rPr>
                        <w:t>ar July 1, 2010 - June 30, 2011</w:t>
                      </w:r>
                      <w:r w:rsidRPr="00E0558A">
                        <w:rPr>
                          <w:sz w:val="18"/>
                        </w:rPr>
                        <w:t xml:space="preserve">.  </w:t>
                      </w:r>
                    </w:p>
                    <w:p w:rsidR="00D73FC9" w:rsidRPr="00E0558A" w:rsidRDefault="00D73FC9" w:rsidP="007052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</w:rPr>
                      </w:pPr>
                      <w:r w:rsidRPr="00E0558A">
                        <w:rPr>
                          <w:sz w:val="18"/>
                        </w:rPr>
                        <w:t>*Includes electronic journals, collections, databases, and monographs.  Networked Resources data for individual libraries are not applicable.  **There may be duplicate counts of electronic serial titles between Total and Grand Total.</w:t>
                      </w:r>
                    </w:p>
                    <w:p w:rsidR="00D73FC9" w:rsidRDefault="00D73FC9" w:rsidP="00D73FC9"/>
                  </w:txbxContent>
                </v:textbox>
              </v:shape>
            </w:pict>
          </mc:Fallback>
        </mc:AlternateConten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2,677,605 </w:t>
      </w:r>
      <w:r>
        <w:tab/>
        <w:t>Printed volumes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2,587,446 </w:t>
      </w:r>
      <w:r>
        <w:tab/>
        <w:t>Microform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   806,042  </w:t>
      </w:r>
      <w:r>
        <w:tab/>
        <w:t>Other formats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     55,382</w:t>
      </w:r>
      <w:r>
        <w:tab/>
        <w:t>Serial Titles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   517,383</w:t>
      </w:r>
      <w:r>
        <w:tab/>
        <w:t>Networked Resources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>6,643,858</w:t>
      </w:r>
      <w:r>
        <w:tab/>
        <w:t>TOTAL</w:t>
      </w:r>
    </w:p>
    <w:p w:rsidR="00D73FC9" w:rsidRDefault="00D73FC9" w:rsidP="00D73FC9">
      <w:pPr>
        <w:rPr>
          <w:color w:val="FF0000"/>
        </w:rPr>
      </w:pPr>
    </w:p>
    <w:p w:rsidR="00D73FC9" w:rsidRPr="0010495B" w:rsidRDefault="00D73FC9" w:rsidP="00D73FC9"/>
    <w:p w:rsidR="00D73FC9" w:rsidRDefault="00D73FC9" w:rsidP="00D73FC9">
      <w:pPr>
        <w:jc w:val="center"/>
        <w:rPr>
          <w:b/>
        </w:rPr>
      </w:pPr>
    </w:p>
    <w:p w:rsidR="00130781" w:rsidRDefault="00130781" w:rsidP="00D73FC9">
      <w:pPr>
        <w:jc w:val="center"/>
        <w:rPr>
          <w:b/>
        </w:rPr>
      </w:pPr>
    </w:p>
    <w:p w:rsidR="00845D69" w:rsidRPr="00D73FC9" w:rsidRDefault="00D129F0" w:rsidP="00D73FC9">
      <w:pPr>
        <w:jc w:val="center"/>
        <w:rPr>
          <w:b/>
        </w:rPr>
      </w:pPr>
      <w:r w:rsidRPr="00D73FC9">
        <w:rPr>
          <w:b/>
        </w:rPr>
        <w:t>Key Issues Looking Ahead</w:t>
      </w:r>
    </w:p>
    <w:p w:rsidR="00E17261" w:rsidRDefault="00E17261" w:rsidP="00845D69"/>
    <w:p w:rsidR="000F42AB" w:rsidRDefault="00D9553B" w:rsidP="00340CEC">
      <w:r>
        <w:t>Acquisitions staff must continually</w:t>
      </w:r>
      <w:r w:rsidR="009A61BD">
        <w:t xml:space="preserve"> broaden th</w:t>
      </w:r>
      <w:r w:rsidR="00FB390B">
        <w:t>eir skills in order to p</w:t>
      </w:r>
      <w:r w:rsidR="00E96914">
        <w:t>rovide the expertise required for</w:t>
      </w:r>
      <w:r w:rsidR="00FB390B">
        <w:t xml:space="preserve"> collection services today. </w:t>
      </w:r>
      <w:r w:rsidR="009A61BD">
        <w:t xml:space="preserve"> </w:t>
      </w:r>
      <w:r w:rsidR="00FB390B">
        <w:t>The proliferation of digital resources over the past twelve years along with the growth of more reliable digital archives has dramatically changed how we approach collection building.  The</w:t>
      </w:r>
      <w:r w:rsidR="00273C16">
        <w:t xml:space="preserve"> cost of resources and </w:t>
      </w:r>
      <w:r w:rsidR="00956470">
        <w:t xml:space="preserve">limited budgets </w:t>
      </w:r>
      <w:r w:rsidR="00E96914">
        <w:t>requires</w:t>
      </w:r>
      <w:r w:rsidR="00273C16">
        <w:t xml:space="preserve"> close scrutiny </w:t>
      </w:r>
      <w:r w:rsidR="0037791E">
        <w:t xml:space="preserve">of </w:t>
      </w:r>
      <w:r w:rsidR="00E96914">
        <w:t>the options available</w:t>
      </w:r>
      <w:r w:rsidR="0037791E">
        <w:t xml:space="preserve"> in order to meet</w:t>
      </w:r>
      <w:r w:rsidR="00273C16">
        <w:t xml:space="preserve"> the needs of our patrons in the best possible way. </w:t>
      </w:r>
      <w:r w:rsidR="0037791E">
        <w:t xml:space="preserve"> </w:t>
      </w:r>
      <w:r w:rsidR="00273C16">
        <w:t xml:space="preserve"> </w:t>
      </w:r>
      <w:r w:rsidR="007C56C0">
        <w:t>New opportunities to build shared collections with other institutions change the landscape once again</w:t>
      </w:r>
      <w:r w:rsidR="00E96914">
        <w:t xml:space="preserve"> and will alter</w:t>
      </w:r>
      <w:r w:rsidR="007C56C0">
        <w:t xml:space="preserve"> our purchasing and access models, substantially expand use, and dramatically </w:t>
      </w:r>
      <w:r w:rsidR="00E96914">
        <w:t>change</w:t>
      </w:r>
      <w:r w:rsidR="007C56C0">
        <w:t xml:space="preserve"> how we assess </w:t>
      </w:r>
      <w:r w:rsidR="00E96914">
        <w:t xml:space="preserve">our </w:t>
      </w:r>
      <w:r w:rsidR="007C56C0">
        <w:t>decisions</w:t>
      </w:r>
      <w:r w:rsidR="00E96914">
        <w:t xml:space="preserve">.   </w:t>
      </w:r>
      <w:r w:rsidR="0037791E">
        <w:t xml:space="preserve">The addition of </w:t>
      </w:r>
      <w:r w:rsidR="008C7150">
        <w:t xml:space="preserve">a </w:t>
      </w:r>
      <w:r w:rsidR="009A6024">
        <w:t>Collection As</w:t>
      </w:r>
      <w:r w:rsidR="008C7150">
        <w:t>sessment and Analysis Librarian</w:t>
      </w:r>
      <w:r w:rsidR="00BF00C3">
        <w:t xml:space="preserve"> </w:t>
      </w:r>
      <w:r w:rsidR="00E96914">
        <w:t xml:space="preserve">in FY12 </w:t>
      </w:r>
      <w:r w:rsidR="0037791E">
        <w:t xml:space="preserve">will provide </w:t>
      </w:r>
      <w:r w:rsidR="00E96914">
        <w:t>the expertise</w:t>
      </w:r>
      <w:r w:rsidR="000F42AB">
        <w:t>, focus, and training</w:t>
      </w:r>
      <w:r w:rsidR="0037791E">
        <w:t xml:space="preserve"> </w:t>
      </w:r>
      <w:r w:rsidR="00E96914">
        <w:t xml:space="preserve">that will allow us </w:t>
      </w:r>
      <w:r w:rsidR="0037791E">
        <w:t>to</w:t>
      </w:r>
      <w:r w:rsidR="000F42AB">
        <w:t xml:space="preserve"> expand </w:t>
      </w:r>
      <w:r w:rsidR="00E96914">
        <w:t xml:space="preserve">the department’s participation in </w:t>
      </w:r>
      <w:r w:rsidR="0037791E">
        <w:t xml:space="preserve">collection assessment activities. </w:t>
      </w:r>
      <w:r w:rsidR="00340CEC">
        <w:t>This may</w:t>
      </w:r>
      <w:r w:rsidR="009238C4">
        <w:t xml:space="preserve"> also </w:t>
      </w:r>
      <w:r w:rsidR="00BF00C3">
        <w:t xml:space="preserve">provide </w:t>
      </w:r>
      <w:r w:rsidR="000F42AB">
        <w:t>the</w:t>
      </w:r>
      <w:r w:rsidR="00E96914">
        <w:t xml:space="preserve"> additional</w:t>
      </w:r>
      <w:r w:rsidR="00BF00C3">
        <w:t xml:space="preserve"> staff resources </w:t>
      </w:r>
      <w:r w:rsidR="000F42AB">
        <w:t xml:space="preserve">necessary </w:t>
      </w:r>
      <w:r w:rsidR="00E17261">
        <w:t xml:space="preserve">to </w:t>
      </w:r>
      <w:r w:rsidR="000F42AB">
        <w:t>reach</w:t>
      </w:r>
      <w:r w:rsidR="00E96914">
        <w:t xml:space="preserve"> our delayed goal to</w:t>
      </w:r>
      <w:r w:rsidR="00BF00C3">
        <w:t xml:space="preserve"> </w:t>
      </w:r>
      <w:r w:rsidR="00E17261">
        <w:t>consolida</w:t>
      </w:r>
      <w:r w:rsidR="00E96914">
        <w:t>te</w:t>
      </w:r>
      <w:r w:rsidR="00BF00C3">
        <w:t xml:space="preserve"> </w:t>
      </w:r>
      <w:r w:rsidR="009238C4">
        <w:t>serial vendor</w:t>
      </w:r>
      <w:r w:rsidR="00BF00C3">
        <w:t>s</w:t>
      </w:r>
      <w:r w:rsidR="000F42AB">
        <w:t xml:space="preserve"> </w:t>
      </w:r>
      <w:r w:rsidR="00E96914">
        <w:t>which would in turn reduce</w:t>
      </w:r>
      <w:r w:rsidR="000F42AB">
        <w:t xml:space="preserve"> cost an</w:t>
      </w:r>
      <w:r w:rsidR="00E96914">
        <w:t xml:space="preserve">d increase the level of </w:t>
      </w:r>
      <w:r w:rsidR="000F42AB">
        <w:t>service</w:t>
      </w:r>
      <w:r w:rsidR="00E96914">
        <w:t xml:space="preserve"> provided by the vendor</w:t>
      </w:r>
      <w:r w:rsidR="000F42AB">
        <w:t xml:space="preserve">.  </w:t>
      </w:r>
    </w:p>
    <w:p w:rsidR="00CF4EAD" w:rsidRDefault="00CF4EAD" w:rsidP="00340CEC"/>
    <w:p w:rsidR="00CF4EAD" w:rsidRDefault="00132C9E" w:rsidP="00CF4EAD">
      <w:r>
        <w:t>Preparations were made for the</w:t>
      </w:r>
      <w:r w:rsidR="00CF4EAD">
        <w:t xml:space="preserve"> Materials on Demand Program </w:t>
      </w:r>
      <w:r w:rsidR="00E96914">
        <w:t xml:space="preserve">purchases </w:t>
      </w:r>
      <w:r>
        <w:t>to</w:t>
      </w:r>
      <w:r w:rsidR="00CF4EAD">
        <w:t xml:space="preserve"> transfer from </w:t>
      </w:r>
      <w:r>
        <w:t xml:space="preserve">the </w:t>
      </w:r>
      <w:r w:rsidR="00CF4EAD">
        <w:t xml:space="preserve">Resource Sharing staff to </w:t>
      </w:r>
      <w:r w:rsidR="00E96914">
        <w:t xml:space="preserve">the </w:t>
      </w:r>
      <w:r w:rsidR="00CF4EAD">
        <w:t xml:space="preserve">Acquisitions </w:t>
      </w:r>
      <w:r w:rsidR="00E96914">
        <w:t>Rush Order Team</w:t>
      </w:r>
      <w:r>
        <w:t xml:space="preserve"> in FY12</w:t>
      </w:r>
      <w:r w:rsidR="00E96914">
        <w:t xml:space="preserve"> </w:t>
      </w:r>
      <w:r w:rsidR="00CF4EAD">
        <w:t>to take advantage of existing</w:t>
      </w:r>
      <w:r>
        <w:t xml:space="preserve"> and efficient</w:t>
      </w:r>
      <w:r w:rsidR="00CF4EAD">
        <w:t xml:space="preserve"> processes and expertise. </w:t>
      </w:r>
    </w:p>
    <w:p w:rsidR="000F42AB" w:rsidRDefault="000F42AB" w:rsidP="00340CEC"/>
    <w:p w:rsidR="00601F93" w:rsidRDefault="000F42AB" w:rsidP="00340CEC">
      <w:r>
        <w:t xml:space="preserve">It is </w:t>
      </w:r>
      <w:r w:rsidR="00BF00C3">
        <w:t>imperative that we</w:t>
      </w:r>
      <w:r w:rsidR="00340CEC">
        <w:t xml:space="preserve"> </w:t>
      </w:r>
      <w:r>
        <w:t>complete</w:t>
      </w:r>
      <w:r w:rsidR="00340CEC">
        <w:t xml:space="preserve"> jo</w:t>
      </w:r>
      <w:r w:rsidR="00BF00C3">
        <w:t>b audits and positio</w:t>
      </w:r>
      <w:r w:rsidR="00132C9E">
        <w:t xml:space="preserve">n reviews this year to </w:t>
      </w:r>
      <w:r w:rsidR="002A37F1">
        <w:t xml:space="preserve">appropriately </w:t>
      </w:r>
      <w:r w:rsidR="00BF00C3">
        <w:t xml:space="preserve">align job descriptions </w:t>
      </w:r>
      <w:r>
        <w:t>to</w:t>
      </w:r>
      <w:r w:rsidR="002A37F1">
        <w:t xml:space="preserve"> the level of </w:t>
      </w:r>
      <w:r w:rsidR="00340CEC">
        <w:t xml:space="preserve">skills </w:t>
      </w:r>
      <w:r w:rsidR="00C95977">
        <w:t xml:space="preserve">and expertise </w:t>
      </w:r>
      <w:r w:rsidR="002A37F1">
        <w:t>required</w:t>
      </w:r>
      <w:r w:rsidR="00132C9E">
        <w:t xml:space="preserve"> today</w:t>
      </w:r>
      <w:r w:rsidR="002A37F1">
        <w:t xml:space="preserve">. </w:t>
      </w:r>
      <w:r w:rsidR="00BF00C3">
        <w:t xml:space="preserve"> </w:t>
      </w:r>
      <w:r w:rsidR="00C95977">
        <w:t xml:space="preserve">We must </w:t>
      </w:r>
      <w:r w:rsidR="002A37F1">
        <w:t xml:space="preserve">also </w:t>
      </w:r>
      <w:r w:rsidR="00C95977">
        <w:t>assess the impact</w:t>
      </w:r>
      <w:r w:rsidR="00132C9E">
        <w:t xml:space="preserve"> on current staff from absorbing a</w:t>
      </w:r>
      <w:r w:rsidR="002A37F1">
        <w:t xml:space="preserve"> full-time</w:t>
      </w:r>
      <w:r w:rsidR="00132C9E">
        <w:t xml:space="preserve"> financial workload following the transfer of the Financial Specialist.</w:t>
      </w:r>
      <w:r w:rsidR="002A37F1">
        <w:t xml:space="preserve">  </w:t>
      </w:r>
      <w:r w:rsidR="00C95977">
        <w:t xml:space="preserve">We must also hire and train a new Vendor Specialist to replace Cheryl Burns who retires September 30, 2011.  </w:t>
      </w:r>
      <w:r w:rsidR="002A37F1">
        <w:rPr>
          <w:bCs/>
        </w:rPr>
        <w:t>We have also committed</w:t>
      </w:r>
      <w:r w:rsidR="002A37F1" w:rsidRPr="00BF00C3">
        <w:rPr>
          <w:bCs/>
        </w:rPr>
        <w:t xml:space="preserve"> .3 - .5 FTE</w:t>
      </w:r>
      <w:r w:rsidR="002A37F1">
        <w:rPr>
          <w:bCs/>
        </w:rPr>
        <w:t xml:space="preserve"> from existing staff resources</w:t>
      </w:r>
      <w:r w:rsidR="002A37F1" w:rsidRPr="00BF00C3">
        <w:rPr>
          <w:bCs/>
        </w:rPr>
        <w:t xml:space="preserve"> in FY12</w:t>
      </w:r>
      <w:r w:rsidR="002A37F1">
        <w:rPr>
          <w:bCs/>
        </w:rPr>
        <w:t xml:space="preserve"> s</w:t>
      </w:r>
      <w:r w:rsidR="00C95977">
        <w:t xml:space="preserve">hould the </w:t>
      </w:r>
      <w:r w:rsidR="00C95977" w:rsidRPr="00BF00C3">
        <w:rPr>
          <w:bCs/>
        </w:rPr>
        <w:t>Hathi</w:t>
      </w:r>
      <w:r w:rsidR="00C95977">
        <w:rPr>
          <w:bCs/>
        </w:rPr>
        <w:t xml:space="preserve"> </w:t>
      </w:r>
      <w:r w:rsidR="00C95977" w:rsidRPr="00BF00C3">
        <w:rPr>
          <w:bCs/>
        </w:rPr>
        <w:t>Trust copyright review grant</w:t>
      </w:r>
      <w:r w:rsidR="00C95977">
        <w:rPr>
          <w:bCs/>
        </w:rPr>
        <w:t xml:space="preserve"> be awarded</w:t>
      </w:r>
      <w:r w:rsidR="00DE3E28">
        <w:rPr>
          <w:bCs/>
        </w:rPr>
        <w:t>.</w:t>
      </w:r>
    </w:p>
    <w:p w:rsidR="00783DD8" w:rsidRDefault="00783DD8" w:rsidP="00340CEC"/>
    <w:p w:rsidR="00C639C0" w:rsidRDefault="00132C9E" w:rsidP="00601F93">
      <w:r>
        <w:t xml:space="preserve">Our </w:t>
      </w:r>
      <w:r>
        <w:t xml:space="preserve">excellent </w:t>
      </w:r>
      <w:r>
        <w:t xml:space="preserve">services are provided through the collective </w:t>
      </w:r>
      <w:r>
        <w:t xml:space="preserve">effort and </w:t>
      </w:r>
      <w:r>
        <w:t xml:space="preserve">contributions from individual staff members.  </w:t>
      </w:r>
      <w:r>
        <w:t>I commend each</w:t>
      </w:r>
      <w:r>
        <w:t xml:space="preserve"> member of Acquisitions for their </w:t>
      </w:r>
      <w:r>
        <w:t>dedication to our service goals</w:t>
      </w:r>
      <w:r>
        <w:t xml:space="preserve"> </w:t>
      </w:r>
      <w:r>
        <w:t>and for their willingness to take</w:t>
      </w:r>
      <w:r>
        <w:t xml:space="preserve"> on additional and new responsibilities </w:t>
      </w:r>
      <w:r>
        <w:t xml:space="preserve">whenever needed.   </w:t>
      </w:r>
    </w:p>
    <w:p w:rsidR="00C639C0" w:rsidRDefault="00C639C0" w:rsidP="00601F93"/>
    <w:p w:rsidR="004C2FA4" w:rsidRPr="001451E9" w:rsidRDefault="004C2FA4" w:rsidP="004C2FA4">
      <w:pPr>
        <w:jc w:val="center"/>
      </w:pPr>
      <w:r>
        <w:t xml:space="preserve"> </w:t>
      </w:r>
    </w:p>
    <w:p w:rsidR="004C2FA4" w:rsidRPr="001451E9" w:rsidRDefault="00D73FC9" w:rsidP="004C2FA4">
      <w:pPr>
        <w:rPr>
          <w:b/>
        </w:rPr>
      </w:pPr>
      <w:r>
        <w:rPr>
          <w:b/>
        </w:rPr>
        <w:br w:type="page"/>
      </w:r>
      <w:r w:rsidR="004C2FA4" w:rsidRPr="001451E9">
        <w:rPr>
          <w:b/>
        </w:rPr>
        <w:lastRenderedPageBreak/>
        <w:t>Appendices Attached:</w:t>
      </w:r>
    </w:p>
    <w:p w:rsidR="004C2FA4" w:rsidRPr="001451E9" w:rsidRDefault="00D73FC9" w:rsidP="007052EC">
      <w:pPr>
        <w:numPr>
          <w:ilvl w:val="0"/>
          <w:numId w:val="2"/>
        </w:numPr>
      </w:pPr>
      <w:r>
        <w:t xml:space="preserve">Acquisition </w:t>
      </w:r>
      <w:r w:rsidR="004E546D">
        <w:t xml:space="preserve">Staff </w:t>
      </w:r>
      <w:r w:rsidR="00BE7C21">
        <w:t xml:space="preserve"> June 30, 2011</w:t>
      </w:r>
    </w:p>
    <w:p w:rsidR="00EC2990" w:rsidRDefault="00EC2990" w:rsidP="007052EC">
      <w:pPr>
        <w:pStyle w:val="ListParagraph"/>
        <w:numPr>
          <w:ilvl w:val="0"/>
          <w:numId w:val="2"/>
        </w:numPr>
      </w:pPr>
      <w:r>
        <w:t xml:space="preserve">Financial </w:t>
      </w:r>
      <w:r w:rsidR="00D73FC9">
        <w:t>Information and Responsibility Changes</w:t>
      </w:r>
    </w:p>
    <w:p w:rsidR="004C2FA4" w:rsidRDefault="004C2FA4" w:rsidP="007052EC">
      <w:pPr>
        <w:pStyle w:val="ListParagraph"/>
        <w:numPr>
          <w:ilvl w:val="0"/>
          <w:numId w:val="2"/>
        </w:numPr>
      </w:pPr>
      <w:r w:rsidRPr="001451E9">
        <w:t>Library Committees</w:t>
      </w:r>
      <w:r w:rsidR="000B1AB1">
        <w:t xml:space="preserve">, Working Groups, </w:t>
      </w:r>
      <w:r w:rsidR="00BE7C21">
        <w:t>Diversity &amp;</w:t>
      </w:r>
      <w:r w:rsidR="000B1AB1">
        <w:t xml:space="preserve"> Staff Development </w:t>
      </w:r>
      <w:r w:rsidR="00BE7C21">
        <w:t xml:space="preserve"> </w:t>
      </w:r>
    </w:p>
    <w:p w:rsidR="00BE7C21" w:rsidRPr="001451E9" w:rsidRDefault="00BE7C21" w:rsidP="007052EC">
      <w:pPr>
        <w:pStyle w:val="ListParagraph"/>
        <w:numPr>
          <w:ilvl w:val="0"/>
          <w:numId w:val="2"/>
        </w:numPr>
      </w:pPr>
      <w:r>
        <w:t>Holdings FY11</w:t>
      </w:r>
    </w:p>
    <w:p w:rsidR="004C2FA4" w:rsidRPr="001451E9" w:rsidRDefault="004C2FA4" w:rsidP="007052EC">
      <w:pPr>
        <w:numPr>
          <w:ilvl w:val="0"/>
          <w:numId w:val="2"/>
        </w:numPr>
      </w:pPr>
      <w:r w:rsidRPr="001451E9">
        <w:t xml:space="preserve">Ordering </w:t>
      </w:r>
      <w:r w:rsidR="00BE7C21">
        <w:t>and Cataloging Statistics over Five Years</w:t>
      </w:r>
    </w:p>
    <w:p w:rsidR="00BE7C21" w:rsidRPr="00BE7C21" w:rsidRDefault="00BE7C21" w:rsidP="007052EC">
      <w:pPr>
        <w:numPr>
          <w:ilvl w:val="0"/>
          <w:numId w:val="2"/>
        </w:numPr>
      </w:pPr>
      <w:r w:rsidRPr="00BE7C21">
        <w:t>Records Maintenance Activities 3-Year Comparison</w:t>
      </w:r>
      <w:r w:rsidRPr="00BE7C21">
        <w:t xml:space="preserve"> </w:t>
      </w:r>
    </w:p>
    <w:p w:rsidR="002B6ED7" w:rsidRPr="001451E9" w:rsidRDefault="00FC2CAD" w:rsidP="007052EC">
      <w:pPr>
        <w:numPr>
          <w:ilvl w:val="0"/>
          <w:numId w:val="2"/>
        </w:numPr>
      </w:pPr>
      <w:r>
        <w:t xml:space="preserve">Acquisitions Services Mission and FY12 </w:t>
      </w:r>
      <w:r w:rsidR="004C2FA4" w:rsidRPr="001451E9">
        <w:t xml:space="preserve">Goals </w:t>
      </w:r>
      <w:r>
        <w:t xml:space="preserve"> </w:t>
      </w:r>
      <w:bookmarkStart w:id="0" w:name="_GoBack"/>
      <w:bookmarkEnd w:id="0"/>
      <w:r w:rsidR="004C2FA4" w:rsidRPr="001451E9">
        <w:t xml:space="preserve"> </w:t>
      </w:r>
    </w:p>
    <w:p w:rsidR="002B6ED7" w:rsidRPr="001363A0" w:rsidRDefault="00E71BE1" w:rsidP="002B6ED7">
      <w:pPr>
        <w:rPr>
          <w:color w:val="FF0000"/>
        </w:rPr>
      </w:pPr>
      <w:r>
        <w:rPr>
          <w:color w:val="FF0000"/>
        </w:rPr>
        <w:t xml:space="preserve"> </w:t>
      </w:r>
    </w:p>
    <w:p w:rsidR="00D73FC9" w:rsidRDefault="004E6F62" w:rsidP="00D73FC9">
      <w:pPr>
        <w:rPr>
          <w:color w:val="FF0000"/>
        </w:rPr>
      </w:pPr>
      <w:r>
        <w:rPr>
          <w:color w:val="FF0000"/>
        </w:rPr>
        <w:t xml:space="preserve">  </w:t>
      </w:r>
    </w:p>
    <w:p w:rsidR="004C2FA4" w:rsidRPr="00D73FC9" w:rsidRDefault="004C2FA4" w:rsidP="00D73FC9">
      <w:pPr>
        <w:jc w:val="center"/>
        <w:rPr>
          <w:color w:val="FF0000"/>
          <w:sz w:val="28"/>
        </w:rPr>
      </w:pPr>
      <w:r w:rsidRPr="00D73FC9">
        <w:rPr>
          <w:b/>
          <w:sz w:val="28"/>
        </w:rPr>
        <w:t>Expanded Highlights</w:t>
      </w:r>
    </w:p>
    <w:p w:rsidR="004C2FA4" w:rsidRDefault="004C2FA4" w:rsidP="00D129F0"/>
    <w:p w:rsidR="0094465F" w:rsidRPr="001451E9" w:rsidRDefault="0094465F" w:rsidP="0094465F">
      <w:r w:rsidRPr="001451E9">
        <w:t xml:space="preserve">Collection Development &amp; Vendor Relations 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 w:rsidRPr="001451E9">
        <w:t xml:space="preserve">Cancelled </w:t>
      </w:r>
      <w:r>
        <w:t xml:space="preserve">all </w:t>
      </w:r>
      <w:r w:rsidRPr="001451E9">
        <w:t>newspapers</w:t>
      </w:r>
      <w:r>
        <w:t xml:space="preserve"> held in the News Center </w:t>
      </w:r>
      <w:r w:rsidRPr="001451E9">
        <w:t>except NYT &amp; Valley News</w:t>
      </w:r>
      <w:r>
        <w:t>.</w:t>
      </w:r>
    </w:p>
    <w:p w:rsidR="0094465F" w:rsidRPr="002638ED" w:rsidRDefault="0094465F" w:rsidP="007052EC">
      <w:pPr>
        <w:pStyle w:val="ListParagraph"/>
        <w:numPr>
          <w:ilvl w:val="0"/>
          <w:numId w:val="1"/>
        </w:numPr>
      </w:pPr>
      <w:r w:rsidRPr="002638ED">
        <w:t>Managed 996 cancel</w:t>
      </w:r>
      <w:r>
        <w:t>lation, print-to-</w:t>
      </w:r>
      <w:r w:rsidRPr="002638ED">
        <w:t>digital transitions and subscription changes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 w:rsidRPr="001451E9">
        <w:t>Joined JSTOR Current Scholarship Program</w:t>
      </w:r>
      <w:r>
        <w:t>.</w:t>
      </w:r>
      <w:r w:rsidRPr="001451E9">
        <w:t xml:space="preserve"> 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>
        <w:t>Joined the HathiTrust in August 2010.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>
        <w:t>Latin American shared collection with Brown initiated in the fall of 2010.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>
        <w:t>Cancelled Spanish, Latin American, and French standing order to realign overspend in these areas.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>
        <w:t xml:space="preserve">Transferred 429 standing orders from Blackwell to Coutts following the purchase of Blackwell Books by YPB.  </w:t>
      </w:r>
    </w:p>
    <w:p w:rsidR="0094465F" w:rsidRPr="002006ED" w:rsidRDefault="0094465F" w:rsidP="007052EC">
      <w:pPr>
        <w:numPr>
          <w:ilvl w:val="0"/>
          <w:numId w:val="1"/>
        </w:numPr>
        <w:textAlignment w:val="center"/>
      </w:pPr>
      <w:r w:rsidRPr="002006ED">
        <w:t xml:space="preserve">Continued </w:t>
      </w:r>
      <w:r>
        <w:t xml:space="preserve">JSTOR </w:t>
      </w:r>
      <w:r w:rsidRPr="002006ED">
        <w:t xml:space="preserve">de-accessing project </w:t>
      </w:r>
      <w:r>
        <w:t xml:space="preserve"> </w:t>
      </w:r>
    </w:p>
    <w:p w:rsidR="0094465F" w:rsidRDefault="0094465F" w:rsidP="007052EC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Barnes &amp; Noble ended their Library Invoicing Program requiring us to return to credit card purchasing, which is more time-consuming than invoice processing.</w:t>
      </w:r>
    </w:p>
    <w:p w:rsidR="0094465F" w:rsidRDefault="0094465F" w:rsidP="0094465F">
      <w:pPr>
        <w:textAlignment w:val="center"/>
      </w:pPr>
    </w:p>
    <w:p w:rsidR="0094465F" w:rsidRDefault="0094465F" w:rsidP="0094465F">
      <w:pPr>
        <w:textAlignment w:val="center"/>
      </w:pPr>
      <w:r>
        <w:t>Beta Testing and Other Initiatives</w:t>
      </w:r>
    </w:p>
    <w:p w:rsidR="0094465F" w:rsidRDefault="0094465F" w:rsidP="007052EC">
      <w:pPr>
        <w:pStyle w:val="ListParagraph"/>
        <w:numPr>
          <w:ilvl w:val="0"/>
          <w:numId w:val="9"/>
        </w:numPr>
        <w:textAlignment w:val="center"/>
      </w:pPr>
      <w:r>
        <w:t>Participated in the SwetsWise 6.0 Beta Test</w:t>
      </w:r>
    </w:p>
    <w:p w:rsidR="0094465F" w:rsidRDefault="0094465F" w:rsidP="007052EC">
      <w:pPr>
        <w:pStyle w:val="ListParagraph"/>
        <w:numPr>
          <w:ilvl w:val="0"/>
          <w:numId w:val="9"/>
        </w:numPr>
        <w:textAlignment w:val="center"/>
      </w:pPr>
      <w:r>
        <w:t xml:space="preserve">Trialed </w:t>
      </w:r>
      <w:r w:rsidRPr="002006ED">
        <w:rPr>
          <w:i/>
        </w:rPr>
        <w:t>Oasis Review Shelf</w:t>
      </w:r>
      <w:r>
        <w:t xml:space="preserve"> for making approval selections online prior to shipment</w:t>
      </w:r>
      <w:r w:rsidRPr="00CE5792">
        <w:t xml:space="preserve">.  </w:t>
      </w:r>
      <w:r>
        <w:t>P</w:t>
      </w:r>
      <w:r w:rsidRPr="00CE5792">
        <w:t>articipating</w:t>
      </w:r>
      <w:r>
        <w:t xml:space="preserve"> bibliographers</w:t>
      </w:r>
      <w:r w:rsidRPr="00CE5792">
        <w:t xml:space="preserve"> included: Laura Braunstein, Noah Lowenstein, Ann Perbohner, and Jane Quigley.</w:t>
      </w:r>
    </w:p>
    <w:p w:rsidR="0094465F" w:rsidRDefault="0094465F" w:rsidP="0094465F">
      <w:pPr>
        <w:pStyle w:val="NormalWeb"/>
        <w:spacing w:before="0" w:beforeAutospacing="0" w:after="0" w:afterAutospacing="0"/>
      </w:pPr>
    </w:p>
    <w:p w:rsidR="0094465F" w:rsidRPr="001451E9" w:rsidRDefault="0094465F" w:rsidP="0094465F">
      <w:pPr>
        <w:textAlignment w:val="center"/>
      </w:pPr>
      <w:r>
        <w:t>Digital Resources Acquisition and Access</w:t>
      </w:r>
    </w:p>
    <w:p w:rsidR="0094465F" w:rsidRDefault="00DE3E28" w:rsidP="007052EC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Participated in</w:t>
      </w:r>
      <w:r w:rsidR="0094465F">
        <w:t xml:space="preserve"> the Springer package assessment; a substantial assessment project</w:t>
      </w:r>
    </w:p>
    <w:p w:rsidR="0094465F" w:rsidRPr="00783DD8" w:rsidRDefault="0094465F" w:rsidP="007052EC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 xml:space="preserve">Completed the </w:t>
      </w:r>
      <w:r w:rsidRPr="001451E9">
        <w:t xml:space="preserve">ERMIT2 </w:t>
      </w:r>
      <w:r>
        <w:t xml:space="preserve">Implementation Teams </w:t>
      </w:r>
      <w:r w:rsidRPr="001451E9">
        <w:t>Final Report  (Nov 2010)</w:t>
      </w:r>
      <w:r w:rsidRPr="001451E9">
        <w:rPr>
          <w:b/>
          <w:bCs/>
        </w:rPr>
        <w:t xml:space="preserve"> </w:t>
      </w:r>
    </w:p>
    <w:p w:rsidR="0094465F" w:rsidRPr="001451E9" w:rsidRDefault="0094465F" w:rsidP="007052EC">
      <w:pPr>
        <w:numPr>
          <w:ilvl w:val="0"/>
          <w:numId w:val="11"/>
        </w:numPr>
        <w:textAlignment w:val="center"/>
      </w:pPr>
      <w:r w:rsidRPr="001451E9">
        <w:t>Launch new Print to Digital Database – March  (Paul Merchant)</w:t>
      </w:r>
    </w:p>
    <w:p w:rsidR="0094465F" w:rsidRPr="001451E9" w:rsidRDefault="0094465F" w:rsidP="007052EC">
      <w:pPr>
        <w:numPr>
          <w:ilvl w:val="0"/>
          <w:numId w:val="11"/>
        </w:numPr>
        <w:textAlignment w:val="center"/>
      </w:pPr>
      <w:r>
        <w:t>Collaborated with</w:t>
      </w:r>
      <w:r w:rsidRPr="001451E9">
        <w:t xml:space="preserve"> Cat</w:t>
      </w:r>
      <w:r>
        <w:t xml:space="preserve">aloging and </w:t>
      </w:r>
      <w:r w:rsidRPr="001451E9">
        <w:t>Met</w:t>
      </w:r>
      <w:r>
        <w:t xml:space="preserve">adata staff </w:t>
      </w:r>
      <w:r w:rsidRPr="001451E9">
        <w:t>to</w:t>
      </w:r>
      <w:r>
        <w:t xml:space="preserve"> review workflow for cancelled standing orders and multi-parts.  </w:t>
      </w:r>
      <w:r w:rsidRPr="001451E9">
        <w:t xml:space="preserve"> </w:t>
      </w:r>
    </w:p>
    <w:p w:rsidR="0094465F" w:rsidRPr="001451E9" w:rsidRDefault="0094465F" w:rsidP="007052EC">
      <w:pPr>
        <w:pStyle w:val="ListParagraph"/>
        <w:numPr>
          <w:ilvl w:val="0"/>
          <w:numId w:val="11"/>
        </w:numPr>
      </w:pPr>
      <w:r>
        <w:t>Updated</w:t>
      </w:r>
      <w:r w:rsidRPr="001451E9">
        <w:t xml:space="preserve"> e</w:t>
      </w:r>
      <w:r>
        <w:t>-Resources workflow p</w:t>
      </w:r>
      <w:r w:rsidRPr="001451E9">
        <w:t>roce</w:t>
      </w:r>
      <w:r>
        <w:t>du</w:t>
      </w:r>
      <w:r w:rsidRPr="001451E9">
        <w:t>res</w:t>
      </w:r>
    </w:p>
    <w:p w:rsidR="0094465F" w:rsidRPr="001451E9" w:rsidRDefault="0094465F" w:rsidP="007052EC">
      <w:pPr>
        <w:numPr>
          <w:ilvl w:val="0"/>
          <w:numId w:val="11"/>
        </w:numPr>
        <w:textAlignment w:val="center"/>
      </w:pPr>
      <w:r>
        <w:t>Continued license review project in preparation for building license records</w:t>
      </w:r>
    </w:p>
    <w:p w:rsidR="0094465F" w:rsidRDefault="00DE3E28" w:rsidP="007052EC">
      <w:pPr>
        <w:numPr>
          <w:ilvl w:val="0"/>
          <w:numId w:val="11"/>
        </w:numPr>
        <w:textAlignment w:val="center"/>
      </w:pPr>
      <w:r>
        <w:t>Completed the implementation phase and began</w:t>
      </w:r>
      <w:r w:rsidR="0094465F">
        <w:t xml:space="preserve"> building ERM license and resource</w:t>
      </w:r>
      <w:r>
        <w:t xml:space="preserve"> records in Millennium Electronic Resources Management Module.</w:t>
      </w:r>
      <w:r w:rsidR="0094465F" w:rsidRPr="001451E9">
        <w:t xml:space="preserve"> </w:t>
      </w:r>
    </w:p>
    <w:p w:rsidR="0094465F" w:rsidRDefault="0094465F" w:rsidP="007052EC">
      <w:pPr>
        <w:numPr>
          <w:ilvl w:val="0"/>
          <w:numId w:val="11"/>
        </w:numPr>
        <w:textAlignment w:val="center"/>
      </w:pPr>
      <w:r>
        <w:t>Worked with Barbara DeFelice to plan for the Proquest platform migration</w:t>
      </w:r>
    </w:p>
    <w:p w:rsidR="0094465F" w:rsidRDefault="0094465F" w:rsidP="007052EC">
      <w:pPr>
        <w:numPr>
          <w:ilvl w:val="0"/>
          <w:numId w:val="11"/>
        </w:numPr>
        <w:textAlignment w:val="center"/>
      </w:pPr>
      <w:r>
        <w:t>Participated in the Summon database recommender implementation</w:t>
      </w:r>
    </w:p>
    <w:p w:rsidR="0094465F" w:rsidRDefault="0094465F" w:rsidP="007052EC">
      <w:pPr>
        <w:numPr>
          <w:ilvl w:val="0"/>
          <w:numId w:val="11"/>
        </w:numPr>
        <w:textAlignment w:val="center"/>
      </w:pPr>
      <w:r>
        <w:t xml:space="preserve">Updated the Collection Development Desired e-Resources List </w:t>
      </w:r>
    </w:p>
    <w:p w:rsidR="0094465F" w:rsidRDefault="0094465F" w:rsidP="007052EC">
      <w:pPr>
        <w:numPr>
          <w:ilvl w:val="0"/>
          <w:numId w:val="11"/>
        </w:numPr>
        <w:textAlignment w:val="center"/>
      </w:pPr>
      <w:r w:rsidRPr="002638ED">
        <w:t>Researched and resolved 146 Electronic Journal Access Problem Reports</w:t>
      </w:r>
    </w:p>
    <w:p w:rsidR="0094465F" w:rsidRDefault="0094465F" w:rsidP="0094465F">
      <w:pPr>
        <w:textAlignment w:val="center"/>
      </w:pPr>
    </w:p>
    <w:p w:rsidR="0094465F" w:rsidRPr="001451E9" w:rsidRDefault="0094465F" w:rsidP="0094465F">
      <w:pPr>
        <w:textAlignment w:val="center"/>
      </w:pPr>
      <w:r>
        <w:t>Financial Management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 w:rsidRPr="001451E9">
        <w:t>Appropriations</w:t>
      </w:r>
      <w:r>
        <w:t xml:space="preserve"> were entered into Millennium by Aug 5, 2010, except for Tuck, Thayer, and Medical allocations that were unavailable at the time.</w:t>
      </w:r>
    </w:p>
    <w:p w:rsidR="0010495B" w:rsidRDefault="0094465F" w:rsidP="007052EC">
      <w:pPr>
        <w:numPr>
          <w:ilvl w:val="0"/>
          <w:numId w:val="1"/>
        </w:numPr>
        <w:textAlignment w:val="center"/>
      </w:pPr>
      <w:r>
        <w:t xml:space="preserve">Resumed invoice keying August 5, 2010.  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>
        <w:t>Analyzed and adjusted year-end spending to take advantage of specially priced archival purchase offers.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>
        <w:t xml:space="preserve">Content Utilities budget management transferred from Lora Thompson to Elizabeth Kirk.  Renewals and invoice payments were consolidated with Acquisitions and are now monitored and tracked in Millennium.  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>
        <w:t xml:space="preserve">Improved budget projections by initiating the use of a </w:t>
      </w:r>
      <w:r w:rsidRPr="00A00CC1">
        <w:rPr>
          <w:i/>
        </w:rPr>
        <w:t>‘Raction’</w:t>
      </w:r>
      <w:r>
        <w:t xml:space="preserve"> code in Millennium to capture idiosyncratic purchases such as subscription term adjustments, multi-year installment plans for one-time purchases, etc., and use this to generate an itemized spreadsheet report for the Associate Librarian in the early spring.   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 w:rsidRPr="005461E3">
        <w:rPr>
          <w:bCs/>
        </w:rPr>
        <w:t>Change</w:t>
      </w:r>
      <w:r>
        <w:rPr>
          <w:bCs/>
        </w:rPr>
        <w:t>d</w:t>
      </w:r>
      <w:r w:rsidRPr="005461E3">
        <w:rPr>
          <w:bCs/>
        </w:rPr>
        <w:t xml:space="preserve"> all 'sheal' funded items to 'smlbd'</w:t>
      </w:r>
      <w:r>
        <w:t xml:space="preserve"> beginning in 2010 at the request of Peggy Sleeth;</w:t>
      </w:r>
      <w:r w:rsidRPr="00045C85">
        <w:t xml:space="preserve"> updated records and redistributed multi funds.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 w:rsidRPr="001451E9">
        <w:t xml:space="preserve">Ended </w:t>
      </w:r>
      <w:r>
        <w:t xml:space="preserve">our </w:t>
      </w:r>
      <w:r w:rsidRPr="001451E9">
        <w:t>Guaranteed Rate Program with EBSCO</w:t>
      </w:r>
      <w:r>
        <w:t xml:space="preserve">.  The impact saved money but increased the number of </w:t>
      </w:r>
      <w:r w:rsidRPr="001451E9">
        <w:t>supplemental invoices</w:t>
      </w:r>
      <w:r>
        <w:t xml:space="preserve"> that needed to be processed.</w:t>
      </w:r>
    </w:p>
    <w:p w:rsidR="0094465F" w:rsidRDefault="0094465F" w:rsidP="007052EC">
      <w:pPr>
        <w:numPr>
          <w:ilvl w:val="0"/>
          <w:numId w:val="1"/>
        </w:numPr>
        <w:textAlignment w:val="center"/>
      </w:pPr>
      <w:r>
        <w:t xml:space="preserve">Procedures were updated and documentation was written to all financial activities, including a policy statement regarding how responsibilities and activities are divided amongst staff in </w:t>
      </w:r>
      <w:r w:rsidR="001A2D6E">
        <w:t>order to</w:t>
      </w:r>
      <w:r>
        <w:t xml:space="preserve"> comply with necessary fiscal financial controls.</w:t>
      </w:r>
    </w:p>
    <w:p w:rsidR="0094465F" w:rsidRDefault="0094465F" w:rsidP="0094465F"/>
    <w:p w:rsidR="00784AF5" w:rsidRPr="001451E9" w:rsidRDefault="00784AF5" w:rsidP="00784AF5">
      <w:r w:rsidRPr="001451E9">
        <w:t xml:space="preserve">Outreach &amp; Education: </w:t>
      </w:r>
    </w:p>
    <w:p w:rsidR="00784AF5" w:rsidRPr="00E71BE1" w:rsidRDefault="00784AF5" w:rsidP="007052EC">
      <w:pPr>
        <w:pStyle w:val="ListParagraph"/>
        <w:numPr>
          <w:ilvl w:val="0"/>
          <w:numId w:val="7"/>
        </w:numPr>
        <w:textAlignment w:val="center"/>
      </w:pPr>
      <w:r>
        <w:t xml:space="preserve">Participated in New </w:t>
      </w:r>
      <w:r w:rsidRPr="001451E9">
        <w:t>Staff Orientation</w:t>
      </w:r>
      <w:r>
        <w:t>:</w:t>
      </w:r>
      <w:r w:rsidRPr="00E71BE1">
        <w:t xml:space="preserve"> Oct 20, 2010 and April 25, 2011</w:t>
      </w:r>
    </w:p>
    <w:p w:rsidR="00784AF5" w:rsidRPr="002B6ED7" w:rsidRDefault="00784AF5" w:rsidP="007052EC">
      <w:pPr>
        <w:pStyle w:val="ListParagraph"/>
        <w:numPr>
          <w:ilvl w:val="0"/>
          <w:numId w:val="8"/>
        </w:numPr>
        <w:textAlignment w:val="center"/>
      </w:pPr>
      <w:r w:rsidRPr="002B6ED7">
        <w:t xml:space="preserve">Introduced monthly or bi-monthly </w:t>
      </w:r>
      <w:r w:rsidRPr="00936A16">
        <w:rPr>
          <w:i/>
        </w:rPr>
        <w:t>Acquisitions Updates</w:t>
      </w:r>
      <w:r w:rsidRPr="002B6ED7">
        <w:t xml:space="preserve"> to increase communication regarding Acquisitions processes and timelines.</w:t>
      </w:r>
    </w:p>
    <w:p w:rsidR="00784AF5" w:rsidRPr="00041020" w:rsidRDefault="00784AF5" w:rsidP="007052EC">
      <w:pPr>
        <w:pStyle w:val="ListParagraph"/>
        <w:numPr>
          <w:ilvl w:val="0"/>
          <w:numId w:val="8"/>
        </w:numPr>
        <w:textAlignment w:val="center"/>
      </w:pPr>
      <w:r>
        <w:rPr>
          <w:bCs/>
        </w:rPr>
        <w:t xml:space="preserve">Launched a </w:t>
      </w:r>
      <w:r w:rsidRPr="00041020">
        <w:rPr>
          <w:bCs/>
        </w:rPr>
        <w:t>Review File Team webpage in February 2011 that included a list of core review files available</w:t>
      </w:r>
      <w:r>
        <w:rPr>
          <w:bCs/>
        </w:rPr>
        <w:t xml:space="preserve"> and</w:t>
      </w:r>
      <w:r w:rsidRPr="00041020">
        <w:rPr>
          <w:bCs/>
        </w:rPr>
        <w:t xml:space="preserve"> a </w:t>
      </w:r>
      <w:r>
        <w:rPr>
          <w:bCs/>
        </w:rPr>
        <w:t xml:space="preserve">questionnaire </w:t>
      </w:r>
      <w:r w:rsidRPr="00041020">
        <w:rPr>
          <w:bCs/>
        </w:rPr>
        <w:t xml:space="preserve">form </w:t>
      </w:r>
      <w:r>
        <w:rPr>
          <w:bCs/>
        </w:rPr>
        <w:t xml:space="preserve">for requesting custom </w:t>
      </w:r>
      <w:r w:rsidRPr="00041020">
        <w:rPr>
          <w:bCs/>
        </w:rPr>
        <w:t xml:space="preserve">reports.  </w:t>
      </w:r>
    </w:p>
    <w:p w:rsidR="00784AF5" w:rsidRPr="00041020" w:rsidRDefault="00784AF5" w:rsidP="007052EC">
      <w:pPr>
        <w:pStyle w:val="ListParagraph"/>
        <w:numPr>
          <w:ilvl w:val="0"/>
          <w:numId w:val="8"/>
        </w:numPr>
        <w:textAlignment w:val="center"/>
      </w:pPr>
      <w:r w:rsidRPr="00041020">
        <w:t>Department Head</w:t>
      </w:r>
      <w:r>
        <w:t xml:space="preserve"> was invited to</w:t>
      </w:r>
      <w:r w:rsidRPr="00041020">
        <w:t xml:space="preserve"> attend a Cataloging &amp; Meta</w:t>
      </w:r>
      <w:r>
        <w:t xml:space="preserve">data staff meeting in December, </w:t>
      </w:r>
      <w:r w:rsidRPr="00041020">
        <w:t>2010 to tal</w:t>
      </w:r>
      <w:r>
        <w:t>k about changes in Acquisitions.</w:t>
      </w:r>
      <w:r w:rsidRPr="00041020">
        <w:t xml:space="preserve"> </w:t>
      </w:r>
    </w:p>
    <w:p w:rsidR="003406CE" w:rsidRPr="001451E9" w:rsidRDefault="003406CE" w:rsidP="00D129F0"/>
    <w:p w:rsidR="0007560A" w:rsidRDefault="0007560A" w:rsidP="0007560A"/>
    <w:p w:rsidR="0007560A" w:rsidRDefault="0007560A" w:rsidP="0007560A">
      <w:r>
        <w:t>Staff Coverage and Reassignment of Responsibilities</w:t>
      </w:r>
    </w:p>
    <w:p w:rsidR="00EC2990" w:rsidRDefault="00132C9E" w:rsidP="007052EC">
      <w:pPr>
        <w:pStyle w:val="ListParagraph"/>
        <w:numPr>
          <w:ilvl w:val="0"/>
          <w:numId w:val="1"/>
        </w:numPr>
        <w:textAlignment w:val="center"/>
      </w:pPr>
      <w:r>
        <w:t xml:space="preserve">Staff assumed </w:t>
      </w:r>
      <w:r w:rsidR="00B80B96">
        <w:t xml:space="preserve">additional duties for </w:t>
      </w:r>
      <w:r>
        <w:t xml:space="preserve">17 </w:t>
      </w:r>
      <w:r w:rsidR="00B80B96">
        <w:t xml:space="preserve">weeks to cover </w:t>
      </w:r>
      <w:r>
        <w:t>3</w:t>
      </w:r>
      <w:r w:rsidR="00B021BC" w:rsidRPr="002F52BF">
        <w:t xml:space="preserve"> </w:t>
      </w:r>
      <w:r w:rsidR="00D4115D" w:rsidRPr="002F52BF">
        <w:t>staff leaves of absence</w:t>
      </w:r>
      <w:r w:rsidR="00B80B96">
        <w:t xml:space="preserve">.   </w:t>
      </w:r>
      <w:r w:rsidR="00566906">
        <w:t xml:space="preserve">  </w:t>
      </w:r>
    </w:p>
    <w:p w:rsidR="0007560A" w:rsidRPr="00EC2990" w:rsidRDefault="00EC2990" w:rsidP="007052EC">
      <w:pPr>
        <w:pStyle w:val="ListParagraph"/>
        <w:numPr>
          <w:ilvl w:val="0"/>
          <w:numId w:val="1"/>
        </w:numPr>
        <w:textAlignment w:val="center"/>
      </w:pPr>
      <w:r>
        <w:t xml:space="preserve">Created a </w:t>
      </w:r>
      <w:r w:rsidR="0007560A" w:rsidRPr="001451E9">
        <w:t xml:space="preserve">Financial Team </w:t>
      </w:r>
      <w:r>
        <w:t>to handle work formerly done</w:t>
      </w:r>
      <w:r w:rsidR="0007560A">
        <w:t xml:space="preserve"> by </w:t>
      </w:r>
      <w:r w:rsidR="00936A16">
        <w:t>the</w:t>
      </w:r>
      <w:r w:rsidR="0007560A">
        <w:t xml:space="preserve"> Financial Specialist.  Members include: </w:t>
      </w:r>
      <w:r w:rsidR="0007560A" w:rsidRPr="001451E9">
        <w:t>Sarah</w:t>
      </w:r>
      <w:r w:rsidR="0007560A">
        <w:t xml:space="preserve"> McBride</w:t>
      </w:r>
      <w:r w:rsidR="0007560A" w:rsidRPr="001451E9">
        <w:t>, Barbar</w:t>
      </w:r>
      <w:r w:rsidR="0007560A">
        <w:t xml:space="preserve">a Sterling, </w:t>
      </w:r>
      <w:r w:rsidR="0007560A" w:rsidRPr="001451E9">
        <w:t>Cherie</w:t>
      </w:r>
      <w:r w:rsidR="0007560A">
        <w:t xml:space="preserve"> Burns</w:t>
      </w:r>
      <w:r w:rsidR="0007560A" w:rsidRPr="001451E9">
        <w:t xml:space="preserve">, </w:t>
      </w:r>
      <w:r w:rsidR="0007560A">
        <w:t xml:space="preserve">and </w:t>
      </w:r>
      <w:r w:rsidR="0007560A" w:rsidRPr="001451E9">
        <w:t>Judy</w:t>
      </w:r>
      <w:r w:rsidR="0007560A">
        <w:t xml:space="preserve"> Maynes. </w:t>
      </w:r>
      <w:r w:rsidR="00196B28">
        <w:t xml:space="preserve"> *</w:t>
      </w:r>
      <w:r w:rsidR="00196B28" w:rsidRPr="00EC2990">
        <w:rPr>
          <w:i/>
        </w:rPr>
        <w:t>See Appendix II</w:t>
      </w:r>
      <w:r>
        <w:rPr>
          <w:i/>
        </w:rPr>
        <w:t xml:space="preserve"> for a </w:t>
      </w:r>
      <w:r w:rsidR="00936A16">
        <w:rPr>
          <w:i/>
        </w:rPr>
        <w:t>detailed</w:t>
      </w:r>
      <w:r>
        <w:rPr>
          <w:i/>
        </w:rPr>
        <w:t xml:space="preserve"> list of responsibilities</w:t>
      </w:r>
      <w:r w:rsidR="00936A16">
        <w:rPr>
          <w:i/>
        </w:rPr>
        <w:t>*</w:t>
      </w:r>
      <w:r>
        <w:rPr>
          <w:i/>
        </w:rPr>
        <w:t xml:space="preserve"> </w:t>
      </w:r>
    </w:p>
    <w:p w:rsidR="00936A16" w:rsidRDefault="00EC2990" w:rsidP="007052EC">
      <w:pPr>
        <w:numPr>
          <w:ilvl w:val="0"/>
          <w:numId w:val="1"/>
        </w:numPr>
        <w:textAlignment w:val="center"/>
      </w:pPr>
      <w:r>
        <w:t>Jan Peltzer increased</w:t>
      </w:r>
      <w:r w:rsidR="00566906">
        <w:t xml:space="preserve"> hours on the digital team </w:t>
      </w:r>
      <w:r w:rsidR="00B021BC" w:rsidRPr="001451E9">
        <w:t xml:space="preserve">from 3 </w:t>
      </w:r>
      <w:r w:rsidR="00566906">
        <w:t>to</w:t>
      </w:r>
      <w:r w:rsidR="00B021BC" w:rsidRPr="001451E9">
        <w:t xml:space="preserve"> 5 days</w:t>
      </w:r>
      <w:r w:rsidR="00936A16">
        <w:t xml:space="preserve"> per week.</w:t>
      </w:r>
    </w:p>
    <w:p w:rsidR="00936A16" w:rsidRDefault="00EC2990" w:rsidP="007052EC">
      <w:pPr>
        <w:numPr>
          <w:ilvl w:val="0"/>
          <w:numId w:val="1"/>
        </w:numPr>
        <w:textAlignment w:val="center"/>
      </w:pPr>
      <w:r>
        <w:t>Marianne Densmore increased</w:t>
      </w:r>
      <w:r w:rsidR="00566906">
        <w:t xml:space="preserve"> her hours from 4 to 5 days per week.  </w:t>
      </w:r>
    </w:p>
    <w:p w:rsidR="002B6ED7" w:rsidRDefault="00566906" w:rsidP="007052EC">
      <w:pPr>
        <w:numPr>
          <w:ilvl w:val="0"/>
          <w:numId w:val="1"/>
        </w:numPr>
        <w:textAlignment w:val="center"/>
      </w:pPr>
      <w:r>
        <w:t xml:space="preserve">The expected </w:t>
      </w:r>
      <w:r w:rsidR="00936A16">
        <w:t xml:space="preserve">reallocation of </w:t>
      </w:r>
      <w:r w:rsidR="00EC2990">
        <w:t xml:space="preserve">half </w:t>
      </w:r>
      <w:r w:rsidR="00936A16">
        <w:t xml:space="preserve">of </w:t>
      </w:r>
      <w:r>
        <w:t>Kathy Walker</w:t>
      </w:r>
      <w:r w:rsidR="00EC2990">
        <w:t>’s hours</w:t>
      </w:r>
      <w:r>
        <w:t xml:space="preserve"> to the d</w:t>
      </w:r>
      <w:r w:rsidR="0007560A">
        <w:t>igital team was not possible</w:t>
      </w:r>
      <w:r>
        <w:t xml:space="preserve"> due to other </w:t>
      </w:r>
      <w:r w:rsidR="00936A16">
        <w:t xml:space="preserve">commitments, </w:t>
      </w:r>
      <w:r>
        <w:t xml:space="preserve">responsibilities and department needs. </w:t>
      </w:r>
      <w:r w:rsidR="00B021BC" w:rsidRPr="001451E9">
        <w:t xml:space="preserve"> </w:t>
      </w:r>
    </w:p>
    <w:p w:rsidR="00116955" w:rsidRDefault="00EC2990" w:rsidP="007052EC">
      <w:pPr>
        <w:numPr>
          <w:ilvl w:val="0"/>
          <w:numId w:val="1"/>
        </w:numPr>
        <w:textAlignment w:val="center"/>
      </w:pPr>
      <w:r>
        <w:t>L</w:t>
      </w:r>
      <w:r w:rsidR="002B6ED7">
        <w:t>iaison assignments were ad</w:t>
      </w:r>
      <w:r>
        <w:t>justed to rebalance workload following th</w:t>
      </w:r>
      <w:r w:rsidR="003D7AF8">
        <w:t xml:space="preserve">e retirement of Miles Yoshimura, and </w:t>
      </w:r>
      <w:r w:rsidR="00936A16">
        <w:t xml:space="preserve">the reallocation of hours to digital resources for Jan Peltzer and Marianne Densmore. </w:t>
      </w:r>
    </w:p>
    <w:p w:rsidR="0094465F" w:rsidRDefault="0094465F" w:rsidP="0094465F">
      <w:pPr>
        <w:ind w:left="720"/>
        <w:textAlignment w:val="center"/>
      </w:pPr>
    </w:p>
    <w:p w:rsidR="0094465F" w:rsidRDefault="0094465F" w:rsidP="0094465F">
      <w:r>
        <w:lastRenderedPageBreak/>
        <w:t xml:space="preserve">Staff </w:t>
      </w:r>
      <w:r>
        <w:t>Job Audits and Position Reviews</w:t>
      </w:r>
    </w:p>
    <w:p w:rsidR="0094465F" w:rsidRDefault="0094465F" w:rsidP="007052EC">
      <w:pPr>
        <w:pStyle w:val="ListParagraph"/>
        <w:numPr>
          <w:ilvl w:val="0"/>
          <w:numId w:val="7"/>
        </w:numPr>
      </w:pPr>
      <w:r>
        <w:t>Reinitiated the process of reviewing job descriptions for job audits and position changes; to be completed in FY12.</w:t>
      </w:r>
    </w:p>
    <w:p w:rsidR="0094465F" w:rsidRDefault="0094465F" w:rsidP="0094465F">
      <w:pPr>
        <w:ind w:left="720"/>
        <w:textAlignment w:val="center"/>
      </w:pPr>
    </w:p>
    <w:p w:rsidR="0094465F" w:rsidRDefault="0094465F" w:rsidP="0094465F">
      <w:r>
        <w:t>Staff Transfers</w:t>
      </w:r>
    </w:p>
    <w:p w:rsidR="0094465F" w:rsidRDefault="0094465F" w:rsidP="007052EC">
      <w:pPr>
        <w:pStyle w:val="ListParagraph"/>
        <w:numPr>
          <w:ilvl w:val="0"/>
          <w:numId w:val="6"/>
        </w:numPr>
        <w:textAlignment w:val="center"/>
      </w:pPr>
      <w:r>
        <w:t xml:space="preserve">Kathleen O’Neill, Financial Specialist, transferred </w:t>
      </w:r>
      <w:r w:rsidRPr="001451E9">
        <w:t xml:space="preserve">to </w:t>
      </w:r>
      <w:r>
        <w:t xml:space="preserve">the Financial Center on November 10, 2010.   </w:t>
      </w:r>
    </w:p>
    <w:p w:rsidR="0094465F" w:rsidRPr="002B6ED7" w:rsidRDefault="0094465F" w:rsidP="0094465F">
      <w:pPr>
        <w:textAlignment w:val="center"/>
      </w:pPr>
    </w:p>
    <w:p w:rsidR="00045C85" w:rsidRPr="001451E9" w:rsidRDefault="00045C85" w:rsidP="00045C85">
      <w:pPr>
        <w:pStyle w:val="NormalWeb"/>
        <w:spacing w:before="0" w:beforeAutospacing="0" w:after="0" w:afterAutospacing="0"/>
      </w:pPr>
      <w:r>
        <w:t xml:space="preserve">Department Administration: </w:t>
      </w:r>
    </w:p>
    <w:p w:rsidR="00196B28" w:rsidRDefault="00196B28" w:rsidP="007052EC">
      <w:pPr>
        <w:numPr>
          <w:ilvl w:val="0"/>
          <w:numId w:val="10"/>
        </w:numPr>
        <w:textAlignment w:val="center"/>
      </w:pPr>
      <w:r>
        <w:t xml:space="preserve">Acquisitions Supervisors, </w:t>
      </w:r>
      <w:r w:rsidR="001C7A50">
        <w:t xml:space="preserve">Julie McIntyre and Kathleen Walker, </w:t>
      </w:r>
      <w:r w:rsidR="001C7A50">
        <w:t>received certification in the</w:t>
      </w:r>
      <w:r>
        <w:t xml:space="preserve"> </w:t>
      </w:r>
      <w:r w:rsidR="00784AF5">
        <w:t>Management Essentials</w:t>
      </w:r>
      <w:r w:rsidR="001C7A50">
        <w:t xml:space="preserve"> at Dartmouth</w:t>
      </w:r>
      <w:r w:rsidR="00784AF5">
        <w:t xml:space="preserve"> </w:t>
      </w:r>
      <w:r>
        <w:t>Program</w:t>
      </w:r>
      <w:r w:rsidR="001C7A50">
        <w:t xml:space="preserve"> </w:t>
      </w:r>
      <w:r w:rsidR="001C7A50">
        <w:t>(MEAD)</w:t>
      </w:r>
      <w:r w:rsidR="001C7A50">
        <w:t>.</w:t>
      </w:r>
    </w:p>
    <w:p w:rsidR="00B021BC" w:rsidRPr="00783DD8" w:rsidRDefault="00196B28" w:rsidP="007052EC">
      <w:pPr>
        <w:numPr>
          <w:ilvl w:val="0"/>
          <w:numId w:val="10"/>
        </w:numPr>
        <w:textAlignment w:val="center"/>
      </w:pPr>
      <w:r>
        <w:t>Organized a staff r</w:t>
      </w:r>
      <w:r w:rsidR="00D4115D" w:rsidRPr="001451E9">
        <w:t>etreat with Mary Childers</w:t>
      </w:r>
      <w:r w:rsidR="00045C85">
        <w:t xml:space="preserve"> on Communication &amp; Feedback which was held on Oct 14, 2010.</w:t>
      </w:r>
    </w:p>
    <w:p w:rsidR="00B021BC" w:rsidRDefault="00A00CC1" w:rsidP="007052EC">
      <w:pPr>
        <w:numPr>
          <w:ilvl w:val="0"/>
          <w:numId w:val="10"/>
        </w:numPr>
        <w:textAlignment w:val="center"/>
      </w:pPr>
      <w:r>
        <w:t xml:space="preserve">Revised the department’s </w:t>
      </w:r>
      <w:r w:rsidR="00045C85">
        <w:t xml:space="preserve">Emergency </w:t>
      </w:r>
      <w:r w:rsidR="00B021BC" w:rsidRPr="001451E9">
        <w:t>Plan Nov 2010</w:t>
      </w:r>
      <w:r>
        <w:t>.</w:t>
      </w:r>
    </w:p>
    <w:p w:rsidR="00196B28" w:rsidRPr="00196B28" w:rsidRDefault="00783DD8" w:rsidP="007052EC">
      <w:pPr>
        <w:pStyle w:val="NormalWeb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CF4EAD">
        <w:rPr>
          <w:bCs/>
        </w:rPr>
        <w:t>Designed workflow to incorp</w:t>
      </w:r>
      <w:r w:rsidR="00CF4EAD">
        <w:rPr>
          <w:bCs/>
        </w:rPr>
        <w:t>o</w:t>
      </w:r>
      <w:r w:rsidRPr="00CF4EAD">
        <w:rPr>
          <w:bCs/>
        </w:rPr>
        <w:t>rate MOD select</w:t>
      </w:r>
      <w:r w:rsidR="00A00CC1">
        <w:rPr>
          <w:bCs/>
        </w:rPr>
        <w:t xml:space="preserve">ion. </w:t>
      </w:r>
    </w:p>
    <w:p w:rsidR="00196B28" w:rsidRPr="001451E9" w:rsidRDefault="002006ED" w:rsidP="007052EC">
      <w:pPr>
        <w:numPr>
          <w:ilvl w:val="0"/>
          <w:numId w:val="10"/>
        </w:numPr>
      </w:pPr>
      <w:r>
        <w:t>Outlined department</w:t>
      </w:r>
      <w:r w:rsidR="00196B28">
        <w:t xml:space="preserve"> lighting concerns with</w:t>
      </w:r>
      <w:r>
        <w:t xml:space="preserve"> the </w:t>
      </w:r>
      <w:r w:rsidR="00196B28">
        <w:t>campus lighting expert</w:t>
      </w:r>
      <w:r>
        <w:t>; remedy is still pending.</w:t>
      </w:r>
      <w:r w:rsidR="00A00CC1">
        <w:t xml:space="preserve">  </w:t>
      </w:r>
    </w:p>
    <w:p w:rsidR="00196B28" w:rsidRDefault="00A00CC1" w:rsidP="007052EC">
      <w:pPr>
        <w:numPr>
          <w:ilvl w:val="0"/>
          <w:numId w:val="10"/>
        </w:numPr>
      </w:pPr>
      <w:r>
        <w:t>Researched and drafted a job description in preparation</w:t>
      </w:r>
      <w:r w:rsidR="00196B28" w:rsidRPr="001451E9">
        <w:t xml:space="preserve"> </w:t>
      </w:r>
      <w:r w:rsidR="00196B28">
        <w:t xml:space="preserve">for </w:t>
      </w:r>
      <w:r>
        <w:t xml:space="preserve">a </w:t>
      </w:r>
      <w:r w:rsidR="00196B28">
        <w:t>new Collection Assessment and Analysis Librarian position</w:t>
      </w:r>
      <w:r>
        <w:t>.</w:t>
      </w:r>
      <w:r w:rsidRPr="00A00CC1">
        <w:t xml:space="preserve"> </w:t>
      </w:r>
      <w:r>
        <w:t xml:space="preserve"> </w:t>
      </w:r>
      <w:r>
        <w:t>Chaired a search committee for recruitment in FY12.</w:t>
      </w:r>
    </w:p>
    <w:p w:rsidR="00196B28" w:rsidRDefault="00196B28" w:rsidP="007052EC">
      <w:pPr>
        <w:pStyle w:val="ListParagraph"/>
        <w:numPr>
          <w:ilvl w:val="0"/>
          <w:numId w:val="10"/>
        </w:numPr>
        <w:textAlignment w:val="center"/>
      </w:pPr>
      <w:r>
        <w:t xml:space="preserve">Prepared computers and staff for transition to </w:t>
      </w:r>
      <w:r w:rsidRPr="002006ED">
        <w:rPr>
          <w:i/>
        </w:rPr>
        <w:t>Blitz</w:t>
      </w:r>
      <w:r w:rsidR="002006ED" w:rsidRPr="002006ED">
        <w:rPr>
          <w:i/>
        </w:rPr>
        <w:t>-</w:t>
      </w:r>
      <w:r w:rsidRPr="002006ED">
        <w:rPr>
          <w:i/>
        </w:rPr>
        <w:t>2</w:t>
      </w:r>
      <w:r w:rsidR="002006ED" w:rsidRPr="002006ED">
        <w:rPr>
          <w:i/>
        </w:rPr>
        <w:t>-Blitz</w:t>
      </w:r>
      <w:r>
        <w:t xml:space="preserve"> email and calendar system  </w:t>
      </w:r>
    </w:p>
    <w:p w:rsidR="00196B28" w:rsidRPr="00CF4EAD" w:rsidRDefault="00196B28" w:rsidP="00196B28">
      <w:pPr>
        <w:pStyle w:val="NormalWeb"/>
        <w:spacing w:before="0" w:beforeAutospacing="0" w:after="0" w:afterAutospacing="0"/>
        <w:ind w:left="360"/>
        <w:rPr>
          <w:bCs/>
        </w:rPr>
      </w:pPr>
    </w:p>
    <w:p w:rsidR="00D73FC9" w:rsidRDefault="00D73FC9" w:rsidP="00783DD8">
      <w:pPr>
        <w:pStyle w:val="NormalWeb"/>
        <w:spacing w:before="0" w:beforeAutospacing="0" w:after="0" w:afterAutospacing="0"/>
        <w:rPr>
          <w:b/>
          <w:bCs/>
        </w:rPr>
      </w:pPr>
    </w:p>
    <w:p w:rsidR="00783DD8" w:rsidRPr="001451E9" w:rsidRDefault="00D73FC9" w:rsidP="00783DD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PROGRAMS</w:t>
      </w:r>
    </w:p>
    <w:p w:rsidR="00D4115D" w:rsidRPr="001451E9" w:rsidRDefault="00D4115D" w:rsidP="00D4115D"/>
    <w:p w:rsidR="00D129F0" w:rsidRPr="00E0558A" w:rsidRDefault="00D129F0" w:rsidP="00E0558A">
      <w:r w:rsidRPr="00E0558A">
        <w:t>A</w:t>
      </w:r>
      <w:r w:rsidR="0045038F" w:rsidRPr="00E0558A">
        <w:t>lumni Memorial Books Fund Program</w:t>
      </w:r>
      <w:r w:rsidR="005A4569" w:rsidRPr="00E0558A">
        <w:t xml:space="preserve"> </w:t>
      </w:r>
      <w:r w:rsidR="007B189E" w:rsidRPr="00E0558A">
        <w:t>(AMBF)</w:t>
      </w:r>
    </w:p>
    <w:p w:rsidR="007B189E" w:rsidRPr="00E0558A" w:rsidRDefault="007B189E" w:rsidP="00E0558A"/>
    <w:p w:rsidR="005A4569" w:rsidRDefault="007B189E" w:rsidP="007052EC">
      <w:pPr>
        <w:numPr>
          <w:ilvl w:val="0"/>
          <w:numId w:val="1"/>
        </w:numPr>
        <w:textAlignment w:val="center"/>
      </w:pPr>
      <w:r>
        <w:t xml:space="preserve">$11,312.14 </w:t>
      </w:r>
      <w:r w:rsidR="0045038F">
        <w:t xml:space="preserve">credited to the Information Resources budget </w:t>
      </w:r>
      <w:r>
        <w:t>from</w:t>
      </w:r>
      <w:r w:rsidR="0045038F">
        <w:t xml:space="preserve"> AMBF receipts.</w:t>
      </w:r>
      <w:r w:rsidR="004314DD" w:rsidRPr="001451E9">
        <w:t xml:space="preserve"> </w:t>
      </w:r>
    </w:p>
    <w:p w:rsidR="007B189E" w:rsidRDefault="002006ED" w:rsidP="007052EC">
      <w:pPr>
        <w:numPr>
          <w:ilvl w:val="0"/>
          <w:numId w:val="1"/>
        </w:numPr>
        <w:textAlignment w:val="center"/>
      </w:pPr>
      <w:r>
        <w:t xml:space="preserve">440 alumni class members </w:t>
      </w:r>
      <w:r w:rsidR="007B189E">
        <w:t>memorialized.</w:t>
      </w:r>
    </w:p>
    <w:p w:rsidR="005A4569" w:rsidRDefault="005A4569" w:rsidP="005A4569">
      <w:pPr>
        <w:textAlignment w:val="center"/>
      </w:pPr>
    </w:p>
    <w:p w:rsidR="004314DD" w:rsidRPr="00E0558A" w:rsidRDefault="005A4569" w:rsidP="00E0558A">
      <w:pPr>
        <w:textAlignment w:val="center"/>
      </w:pPr>
      <w:r w:rsidRPr="00E0558A">
        <w:t>Financial Gifts Program: Memorial and Non-Memorial Gifts</w:t>
      </w:r>
    </w:p>
    <w:p w:rsidR="007B189E" w:rsidRPr="007B189E" w:rsidRDefault="007B189E" w:rsidP="007B189E">
      <w:pPr>
        <w:jc w:val="center"/>
        <w:textAlignment w:val="center"/>
        <w:rPr>
          <w:b/>
        </w:rPr>
      </w:pPr>
    </w:p>
    <w:p w:rsidR="005A4569" w:rsidRDefault="007B189E" w:rsidP="007052EC">
      <w:pPr>
        <w:numPr>
          <w:ilvl w:val="0"/>
          <w:numId w:val="1"/>
        </w:numPr>
        <w:textAlignment w:val="center"/>
      </w:pPr>
      <w:r>
        <w:t xml:space="preserve">$2,261.00 </w:t>
      </w:r>
      <w:r w:rsidR="005A4569">
        <w:t xml:space="preserve">credited to the Information Resources budget </w:t>
      </w:r>
      <w:r>
        <w:t>from</w:t>
      </w:r>
      <w:r w:rsidR="005A4569">
        <w:t xml:space="preserve"> financial gi</w:t>
      </w:r>
      <w:r w:rsidR="0045038F">
        <w:t>ft receipts.</w:t>
      </w:r>
    </w:p>
    <w:p w:rsidR="0045038F" w:rsidRDefault="0045038F" w:rsidP="007052EC">
      <w:pPr>
        <w:numPr>
          <w:ilvl w:val="0"/>
          <w:numId w:val="1"/>
        </w:numPr>
        <w:textAlignment w:val="center"/>
      </w:pPr>
      <w:r>
        <w:t xml:space="preserve">7 </w:t>
      </w:r>
      <w:r w:rsidR="007B189E">
        <w:t>class members were memorialized.</w:t>
      </w:r>
    </w:p>
    <w:p w:rsidR="004314DD" w:rsidRDefault="00CE3F39" w:rsidP="007052EC">
      <w:pPr>
        <w:numPr>
          <w:ilvl w:val="0"/>
          <w:numId w:val="1"/>
        </w:numPr>
        <w:textAlignment w:val="center"/>
      </w:pPr>
      <w:r>
        <w:t xml:space="preserve">Created </w:t>
      </w:r>
      <w:r w:rsidR="005A4569">
        <w:t>procedures</w:t>
      </w:r>
      <w:r w:rsidR="007B189E">
        <w:t xml:space="preserve"> and</w:t>
      </w:r>
      <w:r w:rsidR="005A4569">
        <w:t xml:space="preserve"> manage</w:t>
      </w:r>
      <w:r>
        <w:t>d three</w:t>
      </w:r>
      <w:r w:rsidR="004314DD">
        <w:t xml:space="preserve"> </w:t>
      </w:r>
      <w:r>
        <w:t>short-term memorial gift funds</w:t>
      </w:r>
      <w:r w:rsidR="005A4569">
        <w:t xml:space="preserve"> </w:t>
      </w:r>
      <w:r w:rsidR="00910916">
        <w:t xml:space="preserve">for the following </w:t>
      </w:r>
      <w:r w:rsidR="005A4569">
        <w:t xml:space="preserve">individual </w:t>
      </w:r>
      <w:r w:rsidR="00910916">
        <w:t>memorial</w:t>
      </w:r>
      <w:r w:rsidR="005A4569">
        <w:t xml:space="preserve">s:  </w:t>
      </w:r>
    </w:p>
    <w:p w:rsidR="00B021BC" w:rsidRPr="001451E9" w:rsidRDefault="00B021BC" w:rsidP="007052EC">
      <w:pPr>
        <w:numPr>
          <w:ilvl w:val="1"/>
          <w:numId w:val="1"/>
        </w:numPr>
        <w:textAlignment w:val="center"/>
      </w:pPr>
      <w:r w:rsidRPr="001451E9">
        <w:t>Robert Kolbe D34 Memorial Fund (July-Oct 2010</w:t>
      </w:r>
      <w:r w:rsidR="00910916">
        <w:t>; completed</w:t>
      </w:r>
      <w:r w:rsidRPr="001451E9">
        <w:t>)</w:t>
      </w:r>
    </w:p>
    <w:p w:rsidR="005042F6" w:rsidRPr="001451E9" w:rsidRDefault="00456DF9" w:rsidP="007052EC">
      <w:pPr>
        <w:numPr>
          <w:ilvl w:val="1"/>
          <w:numId w:val="1"/>
        </w:numPr>
        <w:textAlignment w:val="center"/>
      </w:pPr>
      <w:r w:rsidRPr="001451E9">
        <w:t>Ryland E. Robbins</w:t>
      </w:r>
      <w:r w:rsidR="00910916">
        <w:t>, Class of 1944, Memorial Fund (March 2010 – current)</w:t>
      </w:r>
    </w:p>
    <w:p w:rsidR="005042F6" w:rsidRPr="00910916" w:rsidRDefault="00910916" w:rsidP="007052EC">
      <w:pPr>
        <w:numPr>
          <w:ilvl w:val="1"/>
          <w:numId w:val="1"/>
        </w:numPr>
        <w:textAlignment w:val="center"/>
      </w:pPr>
      <w:r w:rsidRPr="00910916">
        <w:t xml:space="preserve">Robert Park </w:t>
      </w:r>
      <w:r w:rsidR="005042F6" w:rsidRPr="00910916">
        <w:t xml:space="preserve">Sherman </w:t>
      </w:r>
      <w:r w:rsidRPr="00910916">
        <w:t xml:space="preserve">Memorial Fund </w:t>
      </w:r>
      <w:r>
        <w:t>(May 2010 to current)</w:t>
      </w:r>
    </w:p>
    <w:p w:rsidR="00EC2990" w:rsidRDefault="00EC2990" w:rsidP="00456DF9">
      <w:pPr>
        <w:rPr>
          <w:color w:val="FF0000"/>
        </w:rPr>
      </w:pPr>
    </w:p>
    <w:p w:rsidR="00456DF9" w:rsidRPr="00E0558A" w:rsidRDefault="007B189E" w:rsidP="00E0558A">
      <w:r w:rsidRPr="00E0558A">
        <w:t>Better World Books Library Discards &amp; Donations Program</w:t>
      </w:r>
    </w:p>
    <w:p w:rsidR="007B189E" w:rsidRPr="007B189E" w:rsidRDefault="007B189E" w:rsidP="007B189E">
      <w:pPr>
        <w:jc w:val="center"/>
        <w:rPr>
          <w:b/>
        </w:rPr>
      </w:pPr>
    </w:p>
    <w:p w:rsidR="00456DF9" w:rsidRDefault="00456DF9" w:rsidP="007052EC">
      <w:pPr>
        <w:pStyle w:val="ListParagraph"/>
        <w:numPr>
          <w:ilvl w:val="0"/>
          <w:numId w:val="3"/>
        </w:numPr>
      </w:pPr>
      <w:r w:rsidRPr="001451E9">
        <w:t>$</w:t>
      </w:r>
      <w:r w:rsidR="00E71BE1">
        <w:t>1,575.78</w:t>
      </w:r>
      <w:r w:rsidRPr="001451E9">
        <w:t xml:space="preserve"> sales commissions received</w:t>
      </w:r>
    </w:p>
    <w:p w:rsidR="00D4115D" w:rsidRPr="007B189E" w:rsidRDefault="00E31340" w:rsidP="007052EC">
      <w:pPr>
        <w:pStyle w:val="ListParagraph"/>
        <w:numPr>
          <w:ilvl w:val="0"/>
          <w:numId w:val="3"/>
        </w:numPr>
        <w:rPr>
          <w:sz w:val="28"/>
        </w:rPr>
      </w:pPr>
      <w:r w:rsidRPr="007B189E">
        <w:rPr>
          <w:color w:val="000000"/>
          <w:sz w:val="22"/>
          <w:szCs w:val="20"/>
        </w:rPr>
        <w:t xml:space="preserve">4260 </w:t>
      </w:r>
      <w:r w:rsidR="001A2D6E">
        <w:rPr>
          <w:color w:val="000000"/>
          <w:sz w:val="22"/>
          <w:szCs w:val="20"/>
        </w:rPr>
        <w:t>lbs</w:t>
      </w:r>
      <w:r w:rsidRPr="007B189E">
        <w:rPr>
          <w:color w:val="000000"/>
          <w:sz w:val="22"/>
          <w:szCs w:val="20"/>
        </w:rPr>
        <w:t xml:space="preserve"> (2.1 Tons)</w:t>
      </w:r>
      <w:r w:rsidR="007B189E" w:rsidRPr="007B189E">
        <w:rPr>
          <w:color w:val="000000"/>
          <w:sz w:val="22"/>
          <w:szCs w:val="20"/>
        </w:rPr>
        <w:t xml:space="preserve"> books shipped to Better World Books</w:t>
      </w:r>
    </w:p>
    <w:p w:rsidR="00130781" w:rsidRDefault="00130781" w:rsidP="00130781">
      <w:pPr>
        <w:rPr>
          <w:sz w:val="28"/>
        </w:rPr>
      </w:pPr>
    </w:p>
    <w:p w:rsidR="00F628DB" w:rsidRDefault="001363A0" w:rsidP="00D73FC9">
      <w:pPr>
        <w:jc w:val="center"/>
        <w:rPr>
          <w:b/>
        </w:rPr>
      </w:pPr>
      <w:r w:rsidRPr="00D73FC9">
        <w:rPr>
          <w:b/>
        </w:rPr>
        <w:t>APPENDICES</w:t>
      </w:r>
    </w:p>
    <w:p w:rsidR="00D73FC9" w:rsidRPr="00D73FC9" w:rsidRDefault="00D73FC9" w:rsidP="00D73FC9">
      <w:pPr>
        <w:jc w:val="center"/>
        <w:rPr>
          <w:b/>
          <w:sz w:val="28"/>
        </w:rPr>
      </w:pPr>
    </w:p>
    <w:p w:rsidR="00F628DB" w:rsidRDefault="00F628DB" w:rsidP="00F628DB"/>
    <w:p w:rsidR="00F628DB" w:rsidRPr="004E546D" w:rsidRDefault="00BE7C21" w:rsidP="00F628DB">
      <w:pPr>
        <w:rPr>
          <w:b/>
        </w:rPr>
      </w:pPr>
      <w:r>
        <w:rPr>
          <w:b/>
        </w:rPr>
        <w:t>Appendix I:  Acquisitions Staff as of June 30, 2011</w:t>
      </w:r>
    </w:p>
    <w:p w:rsidR="00F628DB" w:rsidRDefault="00F628DB" w:rsidP="00F628DB"/>
    <w:p w:rsidR="00F628DB" w:rsidRPr="002006ED" w:rsidRDefault="00F628DB" w:rsidP="00F628DB">
      <w:pPr>
        <w:rPr>
          <w:b/>
        </w:rPr>
      </w:pPr>
    </w:p>
    <w:tbl>
      <w:tblPr>
        <w:tblpPr w:leftFromText="180" w:rightFromText="180" w:vertAnchor="text" w:horzAnchor="margin" w:tblpXSpec="center" w:tblpY="128"/>
        <w:tblW w:w="9933" w:type="dxa"/>
        <w:tblLook w:val="04A0" w:firstRow="1" w:lastRow="0" w:firstColumn="1" w:lastColumn="0" w:noHBand="0" w:noVBand="1"/>
      </w:tblPr>
      <w:tblGrid>
        <w:gridCol w:w="2065"/>
        <w:gridCol w:w="896"/>
        <w:gridCol w:w="3532"/>
        <w:gridCol w:w="1128"/>
        <w:gridCol w:w="1300"/>
        <w:gridCol w:w="1320"/>
      </w:tblGrid>
      <w:tr w:rsidR="00F628DB" w:rsidTr="00F628DB">
        <w:trPr>
          <w:trHeight w:val="300"/>
        </w:trPr>
        <w:tc>
          <w:tcPr>
            <w:tcW w:w="6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F628DB" w:rsidRDefault="00F628DB" w:rsidP="00F6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Default="00F628DB" w:rsidP="00F6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Default="00F628DB" w:rsidP="00F6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Default="00F628DB" w:rsidP="00F6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F628DB" w:rsidRDefault="00F628DB" w:rsidP="00F628DB">
            <w:pPr>
              <w:rPr>
                <w:b/>
                <w:bCs/>
                <w:sz w:val="22"/>
                <w:szCs w:val="22"/>
              </w:rPr>
            </w:pPr>
            <w:r w:rsidRPr="00F628DB">
              <w:rPr>
                <w:b/>
                <w:bCs/>
                <w:sz w:val="22"/>
                <w:szCs w:val="22"/>
              </w:rPr>
              <w:t>Staff Member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F628DB" w:rsidRDefault="00F628DB" w:rsidP="00F628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28DB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F628DB" w:rsidRDefault="00F628DB" w:rsidP="00F628DB">
            <w:pPr>
              <w:rPr>
                <w:b/>
                <w:bCs/>
                <w:sz w:val="22"/>
                <w:szCs w:val="22"/>
              </w:rPr>
            </w:pPr>
            <w:r w:rsidRPr="00F628DB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F628DB" w:rsidRDefault="00F628DB" w:rsidP="00F628DB">
            <w:pPr>
              <w:rPr>
                <w:b/>
                <w:bCs/>
                <w:sz w:val="20"/>
                <w:szCs w:val="22"/>
              </w:rPr>
            </w:pPr>
            <w:r w:rsidRPr="00F628DB">
              <w:rPr>
                <w:b/>
                <w:bCs/>
                <w:sz w:val="20"/>
                <w:szCs w:val="22"/>
              </w:rPr>
              <w:t>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F628DB" w:rsidRDefault="00F628DB" w:rsidP="00F628DB">
            <w:pPr>
              <w:jc w:val="right"/>
              <w:rPr>
                <w:b/>
                <w:bCs/>
                <w:sz w:val="22"/>
                <w:szCs w:val="22"/>
              </w:rPr>
            </w:pPr>
            <w:r w:rsidRPr="00F628DB"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F628DB" w:rsidRDefault="002006ED" w:rsidP="00F628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Braman, Alexander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5-31-2005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Burns, Cheryl 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color w:val="000000"/>
                <w:sz w:val="20"/>
                <w:szCs w:val="20"/>
              </w:rPr>
              <w:t>Vendor Specialist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DRMA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9-2-1986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Bushway, Karla 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1-8-2001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Caruso, Susan 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9-1-1998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Corriveau, Miriam J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8-24-1992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Densmore, </w:t>
            </w:r>
            <w:r w:rsidR="00F628DB" w:rsidRPr="004E546D">
              <w:rPr>
                <w:sz w:val="20"/>
                <w:szCs w:val="20"/>
              </w:rPr>
              <w:t>Marianne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12-22-1986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Fegan, Suzette 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1-28-1988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Gilbert, Roberta 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9-21-1987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Heath, Lori 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color w:val="000000"/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9-18-2006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Maynes, Judy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color w:val="000000"/>
                <w:sz w:val="20"/>
                <w:szCs w:val="20"/>
              </w:rPr>
            </w:pPr>
            <w:r w:rsidRPr="004E546D">
              <w:rPr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Head of Acquisitions  Services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color w:val="000000"/>
                <w:sz w:val="20"/>
                <w:szCs w:val="20"/>
              </w:rPr>
              <w:t>LP III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7-6-1999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McBride, Sarah E.E.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20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color w:val="000000"/>
                <w:sz w:val="20"/>
                <w:szCs w:val="20"/>
              </w:rPr>
              <w:t xml:space="preserve">Acquisitions  Assistant II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9-10-2007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F628DB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McIntyre, Julie 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Acquisitions Supervisor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DRMB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6-30-1980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DB" w:rsidRPr="004E546D" w:rsidRDefault="00F628DB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Peltzer, Jan 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1C7A50" w:rsidP="004E546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E546D"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color w:val="000000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11-14-2005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Sterling, Barbara W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6-13-1988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Torrey, Rebecca 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Digital Resources Specialist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DRM</w:t>
            </w:r>
            <w:r w:rsidR="002006ED">
              <w:rPr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9-6-2000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Vinapol, Donna 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Continuing Resources Specialist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DRMA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10-2-1995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Walker, Kathleen 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Acquisitions Supervisor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DRMB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8-25-1986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Welch, Karen J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Acquisitions  Assistant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AATC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1-24-2005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Wolfe, Timothy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center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color w:val="000000"/>
                <w:sz w:val="20"/>
                <w:szCs w:val="20"/>
              </w:rPr>
              <w:t xml:space="preserve">Acquisitions  Assistant II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  <w:r w:rsidRPr="004E546D">
              <w:rPr>
                <w:color w:val="000000"/>
                <w:sz w:val="20"/>
                <w:szCs w:val="20"/>
              </w:rPr>
              <w:t>AAT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10-15-2007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b/>
                <w:bCs/>
                <w:sz w:val="20"/>
                <w:szCs w:val="20"/>
              </w:rPr>
              <w:t xml:space="preserve">Transfers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F628DB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b/>
                <w:bCs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O'Neill, Kathleen 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center"/>
              <w:rPr>
                <w:color w:val="000000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37.5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Financial Management Specialist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DRMB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jc w:val="right"/>
              <w:rPr>
                <w:color w:val="000000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>7-29-1985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4E546D" w:rsidP="00F628DB">
            <w:pPr>
              <w:rPr>
                <w:color w:val="000000"/>
                <w:sz w:val="20"/>
                <w:szCs w:val="20"/>
              </w:rPr>
            </w:pPr>
          </w:p>
        </w:tc>
      </w:tr>
      <w:tr w:rsidR="004E546D" w:rsidRPr="00F628DB" w:rsidTr="00E71BE1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6D" w:rsidRPr="004E546D" w:rsidRDefault="004E546D" w:rsidP="00F6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6D" w:rsidRPr="004E546D" w:rsidRDefault="004E546D" w:rsidP="00F628D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6D" w:rsidRPr="004E546D" w:rsidRDefault="002006ED" w:rsidP="00F62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date </w:t>
            </w:r>
            <w:r w:rsidRPr="004E546D">
              <w:rPr>
                <w:color w:val="000000"/>
                <w:sz w:val="20"/>
                <w:szCs w:val="20"/>
              </w:rPr>
              <w:t>11/12/2011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6D" w:rsidRPr="004E546D" w:rsidRDefault="004E546D" w:rsidP="00F62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46D" w:rsidRPr="004E546D" w:rsidRDefault="002006ED" w:rsidP="00200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28DB" w:rsidRPr="00F628DB" w:rsidRDefault="00F628DB" w:rsidP="001363A0">
      <w:pPr>
        <w:rPr>
          <w:sz w:val="22"/>
          <w:szCs w:val="22"/>
        </w:rPr>
      </w:pPr>
    </w:p>
    <w:p w:rsidR="004E546D" w:rsidRDefault="004E546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5D40" w:rsidRDefault="004E546D" w:rsidP="00B34BAC">
      <w:pPr>
        <w:rPr>
          <w:b/>
          <w:szCs w:val="22"/>
        </w:rPr>
      </w:pPr>
      <w:r w:rsidRPr="00907360">
        <w:rPr>
          <w:b/>
          <w:szCs w:val="22"/>
        </w:rPr>
        <w:lastRenderedPageBreak/>
        <w:t xml:space="preserve">Appendix II:   </w:t>
      </w:r>
      <w:r w:rsidR="00B34BAC">
        <w:rPr>
          <w:b/>
          <w:szCs w:val="22"/>
        </w:rPr>
        <w:t>Financial Information</w:t>
      </w:r>
      <w:r w:rsidRPr="00907360">
        <w:rPr>
          <w:b/>
          <w:szCs w:val="22"/>
        </w:rPr>
        <w:t xml:space="preserve"> </w:t>
      </w:r>
      <w:r w:rsidR="00D73FC9">
        <w:rPr>
          <w:b/>
          <w:szCs w:val="22"/>
        </w:rPr>
        <w:t>and Responsibility Changes</w:t>
      </w:r>
    </w:p>
    <w:p w:rsidR="00075D40" w:rsidRDefault="00075D40" w:rsidP="00075D40">
      <w:pPr>
        <w:rPr>
          <w:szCs w:val="22"/>
        </w:rPr>
      </w:pPr>
      <w:r>
        <w:rPr>
          <w:szCs w:val="22"/>
        </w:rPr>
        <w:t xml:space="preserve"> </w:t>
      </w:r>
    </w:p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2862"/>
        <w:gridCol w:w="2592"/>
        <w:gridCol w:w="222"/>
      </w:tblGrid>
      <w:tr w:rsidR="00B34BAC" w:rsidTr="00B34BAC">
        <w:trPr>
          <w:trHeight w:val="300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FY11 Information Resources and Content Utilities Budgets </w:t>
            </w:r>
          </w:p>
        </w:tc>
      </w:tr>
      <w:tr w:rsidR="00B34BAC" w:rsidTr="00B34BAC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4BAC" w:rsidTr="00B34BAC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Area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Appropriations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4BAC" w:rsidTr="00B34BAC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Arts &amp; Sciences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6,454,490.60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4BAC" w:rsidTr="00B34BAC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Business &amp; Engineering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1,438,619.00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4BAC" w:rsidTr="00B34BAC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Science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1,131,523.00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4BAC" w:rsidTr="00B34BAC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           9,024,632.60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4BAC" w:rsidTr="00B34BAC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4BAC" w:rsidTr="00B34BAC">
        <w:trPr>
          <w:trHeight w:val="6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Content Utilities in support of collections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141,263.72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AC" w:rsidRDefault="00B34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4BAC" w:rsidRDefault="00B34BAC" w:rsidP="00075D40">
      <w:pPr>
        <w:rPr>
          <w:szCs w:val="22"/>
        </w:rPr>
      </w:pPr>
    </w:p>
    <w:p w:rsidR="00B34BAC" w:rsidRPr="00075D40" w:rsidRDefault="00B34BAC" w:rsidP="00075D40">
      <w:pPr>
        <w:rPr>
          <w:szCs w:val="22"/>
        </w:rPr>
      </w:pPr>
    </w:p>
    <w:p w:rsidR="00B56C87" w:rsidRPr="00907360" w:rsidRDefault="004E546D" w:rsidP="00907360">
      <w:pPr>
        <w:jc w:val="center"/>
        <w:rPr>
          <w:b/>
          <w:szCs w:val="22"/>
        </w:rPr>
      </w:pPr>
      <w:r w:rsidRPr="00907360">
        <w:rPr>
          <w:b/>
          <w:szCs w:val="22"/>
        </w:rPr>
        <w:t xml:space="preserve">Financial </w:t>
      </w:r>
      <w:r w:rsidR="00EC2990" w:rsidRPr="00907360">
        <w:rPr>
          <w:b/>
          <w:szCs w:val="22"/>
        </w:rPr>
        <w:t>Responsibility Changes</w:t>
      </w:r>
    </w:p>
    <w:p w:rsidR="00B56C87" w:rsidRDefault="00907360" w:rsidP="0090736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56C87" w:rsidRDefault="00B56C87" w:rsidP="001363A0">
      <w:pPr>
        <w:rPr>
          <w:sz w:val="22"/>
          <w:szCs w:val="22"/>
        </w:rPr>
      </w:pPr>
      <w:r>
        <w:rPr>
          <w:sz w:val="22"/>
          <w:szCs w:val="22"/>
        </w:rPr>
        <w:t>Financial responsibilities a</w:t>
      </w:r>
      <w:r w:rsidR="004E546D">
        <w:rPr>
          <w:sz w:val="22"/>
          <w:szCs w:val="22"/>
        </w:rPr>
        <w:t>bsorbed by</w:t>
      </w:r>
      <w:r>
        <w:rPr>
          <w:sz w:val="22"/>
          <w:szCs w:val="22"/>
        </w:rPr>
        <w:t xml:space="preserve"> other</w:t>
      </w:r>
      <w:r w:rsidR="00457686">
        <w:rPr>
          <w:sz w:val="22"/>
          <w:szCs w:val="22"/>
        </w:rPr>
        <w:t xml:space="preserve"> Acquisitions s</w:t>
      </w:r>
      <w:r w:rsidR="004E546D">
        <w:rPr>
          <w:sz w:val="22"/>
          <w:szCs w:val="22"/>
        </w:rPr>
        <w:t xml:space="preserve">taff </w:t>
      </w:r>
      <w:r w:rsidR="00907360">
        <w:rPr>
          <w:sz w:val="22"/>
          <w:szCs w:val="22"/>
        </w:rPr>
        <w:t xml:space="preserve">following </w:t>
      </w:r>
      <w:r w:rsidR="004E546D">
        <w:rPr>
          <w:sz w:val="22"/>
          <w:szCs w:val="22"/>
        </w:rPr>
        <w:t xml:space="preserve">the </w:t>
      </w:r>
      <w:r w:rsidR="00457686">
        <w:rPr>
          <w:sz w:val="22"/>
          <w:szCs w:val="22"/>
        </w:rPr>
        <w:t>t</w:t>
      </w:r>
      <w:r w:rsidR="004E546D">
        <w:rPr>
          <w:sz w:val="22"/>
          <w:szCs w:val="22"/>
        </w:rPr>
        <w:t>ransfer of Financial Specialist</w:t>
      </w:r>
      <w:r w:rsidR="00457686">
        <w:rPr>
          <w:sz w:val="22"/>
          <w:szCs w:val="22"/>
        </w:rPr>
        <w:t>, Kathleen O’Neill:</w:t>
      </w:r>
      <w:r>
        <w:rPr>
          <w:sz w:val="22"/>
          <w:szCs w:val="22"/>
        </w:rPr>
        <w:t xml:space="preserve"> </w:t>
      </w:r>
    </w:p>
    <w:p w:rsidR="00B34BAC" w:rsidRDefault="00457686" w:rsidP="007052EC">
      <w:pPr>
        <w:pStyle w:val="ListParagraph"/>
        <w:numPr>
          <w:ilvl w:val="0"/>
          <w:numId w:val="1"/>
        </w:numPr>
        <w:textAlignment w:val="center"/>
      </w:pPr>
      <w:r w:rsidRPr="00457686">
        <w:t>Budget</w:t>
      </w:r>
      <w:r w:rsidR="00B34BAC">
        <w:t xml:space="preserve"> allocations at the individual fund level</w:t>
      </w:r>
    </w:p>
    <w:p w:rsidR="00B56C87" w:rsidRPr="00457686" w:rsidRDefault="00B34BAC" w:rsidP="007052EC">
      <w:pPr>
        <w:pStyle w:val="ListParagraph"/>
        <w:numPr>
          <w:ilvl w:val="0"/>
          <w:numId w:val="1"/>
        </w:numPr>
        <w:textAlignment w:val="center"/>
      </w:pPr>
      <w:r>
        <w:t xml:space="preserve">Budget </w:t>
      </w:r>
      <w:r w:rsidR="00457686" w:rsidRPr="00457686">
        <w:t>appropriations and hierarchies</w:t>
      </w:r>
      <w:r>
        <w:t xml:space="preserve"> set up</w:t>
      </w:r>
      <w:r w:rsidR="00457686" w:rsidRPr="00457686">
        <w:t xml:space="preserve"> in Millennium</w:t>
      </w:r>
    </w:p>
    <w:p w:rsidR="00457686" w:rsidRPr="00457686" w:rsidRDefault="00457686" w:rsidP="007052EC">
      <w:pPr>
        <w:pStyle w:val="ListParagraph"/>
        <w:numPr>
          <w:ilvl w:val="0"/>
          <w:numId w:val="1"/>
        </w:numPr>
        <w:textAlignment w:val="center"/>
      </w:pPr>
      <w:r w:rsidRPr="00457686">
        <w:t>Encumbrance Reconciliation Reports in preparation for new fiscal year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 xml:space="preserve">Fiscal close activities 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Weekly EDI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 xml:space="preserve">IRA Reports 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 xml:space="preserve">Fund Balance Reports to Associate Librarian for Information Resources 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Fund adjustments and chart-string changes</w:t>
      </w:r>
    </w:p>
    <w:p w:rsidR="00B56C87" w:rsidRPr="00457686" w:rsidRDefault="00B34BAC" w:rsidP="007052EC">
      <w:pPr>
        <w:pStyle w:val="ListParagraph"/>
        <w:numPr>
          <w:ilvl w:val="0"/>
          <w:numId w:val="1"/>
        </w:numPr>
        <w:textAlignment w:val="center"/>
      </w:pPr>
      <w:r>
        <w:t>Content Utilities i</w:t>
      </w:r>
      <w:r w:rsidR="00B56C87" w:rsidRPr="00457686">
        <w:t>nvoic</w:t>
      </w:r>
      <w:r>
        <w:t>e approval and t</w:t>
      </w:r>
      <w:r w:rsidR="00B56C87" w:rsidRPr="00457686">
        <w:t>racking in Millennium</w:t>
      </w:r>
    </w:p>
    <w:p w:rsidR="00B56C87" w:rsidRPr="00457686" w:rsidRDefault="00B34BAC" w:rsidP="007052EC">
      <w:pPr>
        <w:pStyle w:val="ListParagraph"/>
        <w:numPr>
          <w:ilvl w:val="0"/>
          <w:numId w:val="1"/>
        </w:numPr>
        <w:textAlignment w:val="center"/>
      </w:pPr>
      <w:r>
        <w:t>Stewardship Program Data  t</w:t>
      </w:r>
      <w:r w:rsidR="00B56C87" w:rsidRPr="00457686">
        <w:t xml:space="preserve">racking and </w:t>
      </w:r>
      <w:r>
        <w:t>annual r</w:t>
      </w:r>
      <w:r w:rsidR="00B56C87" w:rsidRPr="00457686">
        <w:t>eports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 xml:space="preserve">Documentation of procedures, 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P-card management</w:t>
      </w:r>
      <w:r w:rsidR="00457686">
        <w:t xml:space="preserve"> for two acquisitions p-cards</w:t>
      </w:r>
    </w:p>
    <w:p w:rsidR="00B56C87" w:rsidRPr="00457686" w:rsidRDefault="00B34BAC" w:rsidP="007052EC">
      <w:pPr>
        <w:pStyle w:val="ListParagraph"/>
        <w:numPr>
          <w:ilvl w:val="0"/>
          <w:numId w:val="1"/>
        </w:numPr>
        <w:textAlignment w:val="center"/>
      </w:pPr>
      <w:r>
        <w:t>Year-End e</w:t>
      </w:r>
      <w:r w:rsidR="00B56C87" w:rsidRPr="00457686">
        <w:t>ncumbrance reconciliation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Oracle access for payment information</w:t>
      </w:r>
      <w:r w:rsidR="00B34BAC">
        <w:t xml:space="preserve">, </w:t>
      </w:r>
      <w:r w:rsidR="00B34BAC" w:rsidRPr="00457686">
        <w:t>vendor updates and changes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Invoice Team leadership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Response to financial inquiries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Financial records management</w:t>
      </w:r>
      <w:r w:rsidR="00B34BAC">
        <w:t xml:space="preserve"> and invoice filing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Invoices requiring special processing</w:t>
      </w:r>
      <w:r w:rsidR="00B34BAC">
        <w:t xml:space="preserve"> and  Wire Transfers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Keying p-Card payments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ILL check deposits and invoice processing</w:t>
      </w:r>
    </w:p>
    <w:p w:rsidR="00B56C87" w:rsidRPr="00457686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Check deposits: Better World Books, vendor overpayments, reimbursements, AMBF, Financial Gifts.</w:t>
      </w:r>
    </w:p>
    <w:p w:rsidR="00B56C87" w:rsidRPr="00457686" w:rsidRDefault="00B34BAC" w:rsidP="007052EC">
      <w:pPr>
        <w:pStyle w:val="ListParagraph"/>
        <w:numPr>
          <w:ilvl w:val="0"/>
          <w:numId w:val="1"/>
        </w:numPr>
        <w:textAlignment w:val="center"/>
      </w:pPr>
      <w:r>
        <w:t xml:space="preserve">Invoice approval:  </w:t>
      </w:r>
      <w:r w:rsidR="00457686">
        <w:t xml:space="preserve">Special Collections </w:t>
      </w:r>
      <w:r>
        <w:t xml:space="preserve"> </w:t>
      </w:r>
    </w:p>
    <w:p w:rsidR="00B56C87" w:rsidRDefault="00B56C87" w:rsidP="007052EC">
      <w:pPr>
        <w:pStyle w:val="ListParagraph"/>
        <w:numPr>
          <w:ilvl w:val="0"/>
          <w:numId w:val="1"/>
        </w:numPr>
        <w:textAlignment w:val="center"/>
      </w:pPr>
      <w:r w:rsidRPr="00457686">
        <w:t>Liaison</w:t>
      </w:r>
      <w:r w:rsidR="00457686">
        <w:t xml:space="preserve"> to Special Collection Librarians</w:t>
      </w:r>
    </w:p>
    <w:p w:rsidR="00457686" w:rsidRPr="00457686" w:rsidRDefault="00457686" w:rsidP="007052EC">
      <w:pPr>
        <w:pStyle w:val="ListParagraph"/>
        <w:numPr>
          <w:ilvl w:val="0"/>
          <w:numId w:val="1"/>
        </w:numPr>
        <w:textAlignment w:val="center"/>
      </w:pPr>
      <w:r>
        <w:t xml:space="preserve">Liaison to Accounts Payable </w:t>
      </w:r>
    </w:p>
    <w:p w:rsidR="00B56C87" w:rsidRDefault="00B56C87" w:rsidP="00B56C87">
      <w:pPr>
        <w:textAlignment w:val="center"/>
        <w:rPr>
          <w:color w:val="FF0000"/>
        </w:rPr>
      </w:pPr>
    </w:p>
    <w:p w:rsidR="00457686" w:rsidRDefault="00B34BAC" w:rsidP="00457686">
      <w:r>
        <w:t>T</w:t>
      </w:r>
      <w:r w:rsidR="00457686">
        <w:t>ransferred to the main library office:</w:t>
      </w:r>
      <w:r>
        <w:t xml:space="preserve">  </w:t>
      </w:r>
    </w:p>
    <w:p w:rsidR="006E4878" w:rsidRPr="00457686" w:rsidRDefault="00B34BAC" w:rsidP="007052EC">
      <w:pPr>
        <w:pStyle w:val="ListParagraph"/>
        <w:numPr>
          <w:ilvl w:val="0"/>
          <w:numId w:val="4"/>
        </w:numPr>
      </w:pPr>
      <w:r>
        <w:t>non-Acquisitions P-card management</w:t>
      </w:r>
      <w:r>
        <w:rPr>
          <w:sz w:val="22"/>
          <w:szCs w:val="22"/>
        </w:rPr>
        <w:t xml:space="preserve">  </w:t>
      </w:r>
    </w:p>
    <w:p w:rsidR="001852CF" w:rsidRPr="001852CF" w:rsidRDefault="004E546D" w:rsidP="00B34BAC">
      <w:pPr>
        <w:rPr>
          <w:b/>
          <w:szCs w:val="22"/>
        </w:rPr>
      </w:pPr>
      <w:r w:rsidRPr="001852CF">
        <w:rPr>
          <w:b/>
          <w:szCs w:val="22"/>
        </w:rPr>
        <w:lastRenderedPageBreak/>
        <w:t xml:space="preserve">Appendix III:   </w:t>
      </w:r>
      <w:r w:rsidR="000B1AB1" w:rsidRPr="001852CF">
        <w:rPr>
          <w:b/>
          <w:szCs w:val="22"/>
        </w:rPr>
        <w:t xml:space="preserve">Library Committees, Working Groups, and Staff Development </w:t>
      </w:r>
    </w:p>
    <w:tbl>
      <w:tblPr>
        <w:tblpPr w:leftFromText="180" w:rightFromText="180" w:vertAnchor="page" w:horzAnchor="margin" w:tblpY="2581"/>
        <w:tblW w:w="8020" w:type="dxa"/>
        <w:tblLook w:val="04A0" w:firstRow="1" w:lastRow="0" w:firstColumn="1" w:lastColumn="0" w:noHBand="0" w:noVBand="1"/>
      </w:tblPr>
      <w:tblGrid>
        <w:gridCol w:w="8020"/>
      </w:tblGrid>
      <w:tr w:rsidR="006E4878" w:rsidRPr="00F628DB" w:rsidTr="001852CF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78" w:rsidRPr="00F628DB" w:rsidRDefault="006E4878" w:rsidP="001852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28DB">
              <w:rPr>
                <w:b/>
                <w:bCs/>
                <w:color w:val="000000"/>
                <w:sz w:val="22"/>
                <w:szCs w:val="22"/>
              </w:rPr>
              <w:t>Committees</w:t>
            </w:r>
            <w:r w:rsidR="004E546D">
              <w:rPr>
                <w:b/>
                <w:bCs/>
                <w:color w:val="000000"/>
                <w:sz w:val="22"/>
                <w:szCs w:val="22"/>
              </w:rPr>
              <w:t xml:space="preserve"> and Working Groups</w:t>
            </w:r>
          </w:p>
        </w:tc>
      </w:tr>
      <w:tr w:rsidR="006E4878" w:rsidRPr="00F628DB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78" w:rsidRPr="00F628DB" w:rsidRDefault="006E4878" w:rsidP="001852CF">
            <w:pPr>
              <w:rPr>
                <w:color w:val="000000"/>
                <w:sz w:val="22"/>
                <w:szCs w:val="22"/>
              </w:rPr>
            </w:pPr>
            <w:r w:rsidRPr="00F628DB">
              <w:rPr>
                <w:color w:val="000000"/>
                <w:sz w:val="22"/>
                <w:szCs w:val="22"/>
              </w:rPr>
              <w:t>Collection Assessment and Analysis Librarian Search Committee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Collection Development Forum (CD Forum)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Collection Services Coordinators (CSC)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Dartmouth College Library Staff Association, Welfare (DCLSA) 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Information Securities Representative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Lib-Cat Coordinators Group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Library Assessment - Analyzing the Triennial Library survey</w:t>
            </w:r>
          </w:p>
        </w:tc>
      </w:tr>
      <w:tr w:rsidR="006E4878" w:rsidTr="001852CF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 (Microsoft Online Services) Implementation Testing Team - New Blitz System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Preservation, Acquisitions &amp; Cataloging and Metadata (PACC)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78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Search Committee:  Collection Assessment &amp; Analysis Librarian</w:t>
            </w:r>
          </w:p>
        </w:tc>
      </w:tr>
      <w:tr w:rsidR="001852CF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Search Committee:  Library System Administrator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Systems Administrator Transition Planning Team</w:t>
            </w:r>
          </w:p>
        </w:tc>
      </w:tr>
      <w:tr w:rsidR="006E4878" w:rsidTr="001852CF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78" w:rsidRDefault="006E4878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Technical Coordinators (TeCor)</w:t>
            </w:r>
          </w:p>
        </w:tc>
      </w:tr>
    </w:tbl>
    <w:tbl>
      <w:tblPr>
        <w:tblpPr w:leftFromText="180" w:rightFromText="180" w:vertAnchor="page" w:horzAnchor="margin" w:tblpY="8746"/>
        <w:tblW w:w="9480" w:type="dxa"/>
        <w:tblLook w:val="04A0" w:firstRow="1" w:lastRow="0" w:firstColumn="1" w:lastColumn="0" w:noHBand="0" w:noVBand="1"/>
      </w:tblPr>
      <w:tblGrid>
        <w:gridCol w:w="5340"/>
        <w:gridCol w:w="1780"/>
        <w:gridCol w:w="2360"/>
      </w:tblGrid>
      <w:tr w:rsidR="001852CF" w:rsidTr="001852C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Staff Development Activities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Sponsor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1852CF" w:rsidTr="001852CF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Create Lists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Innovative Interfaces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Mar. 9, 2011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Excel Spreadsheet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 2010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Excel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Apr. 7, 2011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 Basics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Nov. 16, 2010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JSTOR Current Scholarship Program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Webinar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 16, 2010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Management Essentials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Oct. 8, 2010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Managing Documents in Word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Apr. 1, 2011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MEAD (Management Essentials at Dartmouth)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Nov. 2010-July 2011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Oracle Invoice Look 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Accounts Payable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Dec. 10, 2010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Outlook Training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 22, 2011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Benefits Your Choices - Mail Order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Aug. 25, 2010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Benefits/Anthem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Sept. 28, 2010</w:t>
            </w:r>
          </w:p>
        </w:tc>
      </w:tr>
      <w:tr w:rsidR="001852CF" w:rsidTr="001852C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Benefits/</w:t>
            </w:r>
            <w:r w:rsidR="001A2D6E">
              <w:rPr>
                <w:rFonts w:ascii="Calibri" w:hAnsi="Calibri" w:cs="Calibri"/>
                <w:color w:val="000000"/>
                <w:sz w:val="22"/>
                <w:szCs w:val="22"/>
              </w:rPr>
              <w:t>Preferred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BS/BC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Oct. 19, 2010</w:t>
            </w:r>
          </w:p>
        </w:tc>
      </w:tr>
    </w:tbl>
    <w:p w:rsidR="002E591D" w:rsidRDefault="002E591D">
      <w:r>
        <w:br w:type="page"/>
      </w:r>
    </w:p>
    <w:p w:rsidR="002E591D" w:rsidRDefault="002E591D"/>
    <w:p w:rsidR="002E591D" w:rsidRDefault="002E591D"/>
    <w:tbl>
      <w:tblPr>
        <w:tblW w:w="10338" w:type="dxa"/>
        <w:tblInd w:w="-705" w:type="dxa"/>
        <w:tblLook w:val="04A0" w:firstRow="1" w:lastRow="0" w:firstColumn="1" w:lastColumn="0" w:noHBand="0" w:noVBand="1"/>
      </w:tblPr>
      <w:tblGrid>
        <w:gridCol w:w="5824"/>
        <w:gridCol w:w="1793"/>
        <w:gridCol w:w="2721"/>
      </w:tblGrid>
      <w:tr w:rsidR="002E591D" w:rsidTr="001852CF">
        <w:trPr>
          <w:trHeight w:val="27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Conferences &amp; Advisory Groups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Location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2E591D" w:rsidTr="001852CF">
        <w:trPr>
          <w:trHeight w:val="55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"Engaged Design: Architecture Students and the Berry Combined Desk"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Inspiring Ideas Conference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Mar. 23, 2011</w:t>
            </w:r>
          </w:p>
        </w:tc>
      </w:tr>
      <w:tr w:rsidR="002E591D" w:rsidTr="001852CF">
        <w:trPr>
          <w:trHeight w:val="55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"Undergraduate admissions process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Inspiring Ideas Conference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Mar. 23, 2011</w:t>
            </w:r>
          </w:p>
        </w:tc>
      </w:tr>
      <w:tr w:rsidR="002E591D" w:rsidTr="001852CF">
        <w:trPr>
          <w:trHeight w:val="55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"Undergraduate Student Support Services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Inspiring Ideas Conference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Mar. 23, 2011</w:t>
            </w:r>
          </w:p>
        </w:tc>
      </w:tr>
      <w:tr w:rsidR="002E591D" w:rsidTr="001852CF">
        <w:trPr>
          <w:trHeight w:val="55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"Your Defensive Mindset"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Inspiring Ideas Conference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Mar. 23, 2011</w:t>
            </w:r>
          </w:p>
        </w:tc>
      </w:tr>
      <w:tr w:rsidR="002E591D" w:rsidTr="001852CF">
        <w:trPr>
          <w:trHeight w:val="27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Charleston Acquisitions Conference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Charleston, SC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Nov. 27-30, 2010</w:t>
            </w:r>
          </w:p>
        </w:tc>
      </w:tr>
      <w:tr w:rsidR="002E591D" w:rsidTr="001852CF">
        <w:trPr>
          <w:trHeight w:val="27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Coutts Advisory Committee Meeting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WebEx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Jan. 7, 2011</w:t>
            </w:r>
          </w:p>
        </w:tc>
      </w:tr>
      <w:tr w:rsidR="002E591D" w:rsidTr="001852CF">
        <w:trPr>
          <w:trHeight w:val="27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Ingram Academic Advisory Group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WebEx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June. 24, 2011</w:t>
            </w:r>
          </w:p>
        </w:tc>
      </w:tr>
      <w:tr w:rsidR="002E591D" w:rsidTr="001852CF">
        <w:trPr>
          <w:trHeight w:val="27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Innovative Reporter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1A2D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WebEx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Mar. 3, 2011</w:t>
            </w:r>
          </w:p>
        </w:tc>
      </w:tr>
      <w:tr w:rsidR="002E591D" w:rsidTr="001852CF">
        <w:trPr>
          <w:trHeight w:val="27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It's Only as good as the Metadata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NISO Webinar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Oct. 13, 2010</w:t>
            </w:r>
          </w:p>
        </w:tc>
      </w:tr>
      <w:tr w:rsidR="002E591D" w:rsidTr="001852CF">
        <w:trPr>
          <w:trHeight w:val="27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IUG (Innovators Users Group) Meeting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Francisco, 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Apr. 13, 2011-Apr. 15, 2011</w:t>
            </w:r>
          </w:p>
        </w:tc>
      </w:tr>
      <w:tr w:rsidR="002E591D" w:rsidTr="001852CF">
        <w:trPr>
          <w:trHeight w:val="27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 College Program - "Hood Highlights Tour"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Nov. 9, 2010</w:t>
            </w:r>
          </w:p>
        </w:tc>
      </w:tr>
      <w:tr w:rsidR="002E591D" w:rsidTr="001852CF">
        <w:trPr>
          <w:trHeight w:val="55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 College Program - "Making Mindful Listening part of your everyday life"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Nov. 10, 2010</w:t>
            </w:r>
          </w:p>
        </w:tc>
      </w:tr>
      <w:tr w:rsidR="002E591D" w:rsidTr="001852CF">
        <w:trPr>
          <w:trHeight w:val="27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 College Program - CITE Social status at work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1D" w:rsidRDefault="002E5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Nov. 9, 2010</w:t>
            </w:r>
          </w:p>
        </w:tc>
      </w:tr>
    </w:tbl>
    <w:tbl>
      <w:tblPr>
        <w:tblpPr w:leftFromText="180" w:rightFromText="180" w:vertAnchor="text" w:horzAnchor="margin" w:tblpXSpec="center" w:tblpY="1"/>
        <w:tblW w:w="10061" w:type="dxa"/>
        <w:tblLook w:val="04A0" w:firstRow="1" w:lastRow="0" w:firstColumn="1" w:lastColumn="0" w:noHBand="0" w:noVBand="1"/>
      </w:tblPr>
      <w:tblGrid>
        <w:gridCol w:w="4695"/>
        <w:gridCol w:w="3600"/>
        <w:gridCol w:w="1766"/>
      </w:tblGrid>
      <w:tr w:rsidR="001852CF" w:rsidTr="001852CF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Diversity Events Attended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1852CF" w:rsidTr="001852CF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Lecture - Dorsett Fellow Ken Feinberg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Dartmouth Ethics Institute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 10, 2011</w:t>
            </w:r>
          </w:p>
        </w:tc>
      </w:tr>
      <w:tr w:rsidR="001852CF" w:rsidTr="001852CF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Lecture - Gina Barrecca "Babes in Snowland"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Friends of the Dartmouth College Library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Feb. 11, 2011</w:t>
            </w:r>
          </w:p>
        </w:tc>
      </w:tr>
      <w:tr w:rsidR="001852CF" w:rsidTr="001852CF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Lecture - Sherry Turkle "Alone Together"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Humanities Lecture Series/Leslie Center for the Humanities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Feb. 10, 2011</w:t>
            </w:r>
          </w:p>
        </w:tc>
      </w:tr>
      <w:tr w:rsidR="001852CF" w:rsidTr="001852CF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Lecture- Dr. Aravind: Restoring Vision to millions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 14, 2010</w:t>
            </w:r>
          </w:p>
        </w:tc>
      </w:tr>
      <w:tr w:rsidR="001852CF" w:rsidTr="001852CF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Lecture on "Jewish Gospel"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Roth Center and Hopkins Center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Apr. 14, 2011</w:t>
            </w:r>
          </w:p>
        </w:tc>
      </w:tr>
      <w:tr w:rsidR="001852CF" w:rsidTr="001852CF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Lecture Series: Calvin Trillin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Montgomery Endowment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Feb. 1, 2011</w:t>
            </w:r>
          </w:p>
        </w:tc>
      </w:tr>
      <w:tr w:rsidR="001852CF" w:rsidTr="001852CF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Lecture Series: Dan Barber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Montgomery Endowment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Feb. 22, 2011</w:t>
            </w:r>
          </w:p>
        </w:tc>
      </w:tr>
      <w:tr w:rsidR="001852CF" w:rsidTr="001852CF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Lecture Series: Ruth Reichl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Montgomery Endowment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Feb. 8, 2011</w:t>
            </w:r>
          </w:p>
        </w:tc>
      </w:tr>
      <w:tr w:rsidR="001852CF" w:rsidTr="001852CF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Luther King Jr. Day Employee Celebration Breakfast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Jan. 17, 2011</w:t>
            </w:r>
          </w:p>
        </w:tc>
      </w:tr>
      <w:tr w:rsidR="001852CF" w:rsidTr="001852CF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Luther King Jr. Day Employee Celebration Community Lunch Panel Discussion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of Institutional Diversity and Equity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Jan. 20, 2011</w:t>
            </w:r>
          </w:p>
        </w:tc>
      </w:tr>
      <w:tr w:rsidR="001852CF" w:rsidTr="001852CF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More than Walking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Library Diversity Committee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Oct. 4, 2010</w:t>
            </w:r>
          </w:p>
        </w:tc>
      </w:tr>
      <w:tr w:rsidR="001852CF" w:rsidTr="001852CF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Museums in Modern Egypt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with Dr. Christine Lilyquist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Library Diversity Committee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 29, 2011</w:t>
            </w:r>
          </w:p>
        </w:tc>
      </w:tr>
      <w:tr w:rsidR="001852CF" w:rsidTr="001852CF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Presentation by South African performer, anthropologist, and activist Johnny Clegg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Environmental Studies Department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F" w:rsidRDefault="001852CF" w:rsidP="00185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Apr. 6, 2011</w:t>
            </w:r>
          </w:p>
        </w:tc>
      </w:tr>
    </w:tbl>
    <w:p w:rsidR="00670D6A" w:rsidRDefault="00670D6A" w:rsidP="0071419B">
      <w:r>
        <w:br w:type="page"/>
      </w:r>
    </w:p>
    <w:p w:rsidR="00D73FC9" w:rsidRDefault="00D73FC9" w:rsidP="00D73FC9">
      <w:pPr>
        <w:ind w:left="360"/>
        <w:rPr>
          <w:sz w:val="28"/>
        </w:rPr>
      </w:pPr>
    </w:p>
    <w:p w:rsidR="00BE7C21" w:rsidRPr="00BE7C21" w:rsidRDefault="00BE7C21" w:rsidP="00D73FC9">
      <w:pPr>
        <w:ind w:left="360"/>
        <w:rPr>
          <w:b/>
        </w:rPr>
      </w:pPr>
      <w:r w:rsidRPr="00BE7C21">
        <w:rPr>
          <w:b/>
        </w:rPr>
        <w:t>Appendix IV:   Holdings FY11</w:t>
      </w:r>
    </w:p>
    <w:p w:rsidR="00BE7C21" w:rsidRDefault="00BE7C21" w:rsidP="00D73FC9">
      <w:pPr>
        <w:ind w:left="360"/>
      </w:pPr>
    </w:p>
    <w:p w:rsidR="00BE7C21" w:rsidRDefault="00BE7C21" w:rsidP="00D73FC9">
      <w:pPr>
        <w:ind w:left="360"/>
      </w:pPr>
    </w:p>
    <w:p w:rsidR="00BE7C21" w:rsidRDefault="00BE7C21" w:rsidP="00D73FC9">
      <w:pPr>
        <w:ind w:left="360"/>
      </w:pPr>
    </w:p>
    <w:p w:rsidR="00BE7C21" w:rsidRDefault="00BE7C21" w:rsidP="00D73FC9">
      <w:pPr>
        <w:ind w:left="360"/>
      </w:pPr>
    </w:p>
    <w:p w:rsidR="00BE7C21" w:rsidRDefault="00BE7C21" w:rsidP="00D73FC9">
      <w:pPr>
        <w:ind w:left="360"/>
      </w:pPr>
    </w:p>
    <w:p w:rsidR="00BE7C21" w:rsidRDefault="00BE7C21" w:rsidP="00D73FC9">
      <w:pPr>
        <w:ind w:left="360"/>
      </w:pPr>
    </w:p>
    <w:p w:rsidR="00D73FC9" w:rsidRPr="00E0558A" w:rsidRDefault="00D73FC9" w:rsidP="00D73FC9">
      <w:pPr>
        <w:ind w:left="360"/>
      </w:pPr>
      <w:r w:rsidRPr="00E0558A">
        <w:t xml:space="preserve">FY11 Library Holdings for Dartmouth Fact Book  </w:t>
      </w:r>
    </w:p>
    <w:p w:rsidR="00D73FC9" w:rsidRPr="00E0558A" w:rsidRDefault="00D73FC9" w:rsidP="00D73FC9">
      <w:pPr>
        <w:ind w:left="360"/>
        <w:jc w:val="center"/>
        <w:rPr>
          <w:b/>
        </w:rPr>
      </w:pP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2,677,605 </w:t>
      </w:r>
      <w:r>
        <w:tab/>
        <w:t>Printed volumes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2,587,446 </w:t>
      </w:r>
      <w:r>
        <w:tab/>
        <w:t>Microform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   806,042  </w:t>
      </w:r>
      <w:r>
        <w:tab/>
        <w:t>Other formats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     55,382</w:t>
      </w:r>
      <w:r>
        <w:tab/>
        <w:t>Serial Titles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 xml:space="preserve">   517,383</w:t>
      </w:r>
      <w:r>
        <w:tab/>
        <w:t>Networked Resources</w:t>
      </w:r>
    </w:p>
    <w:p w:rsidR="00D73FC9" w:rsidRDefault="00D73FC9" w:rsidP="007052EC">
      <w:pPr>
        <w:pStyle w:val="ListParagraph"/>
        <w:numPr>
          <w:ilvl w:val="0"/>
          <w:numId w:val="17"/>
        </w:numPr>
      </w:pPr>
      <w:r>
        <w:t>6,643,858</w:t>
      </w:r>
      <w:r>
        <w:tab/>
        <w:t>TOTAL</w:t>
      </w:r>
    </w:p>
    <w:p w:rsidR="00D73FC9" w:rsidRDefault="00D73FC9" w:rsidP="00D73FC9">
      <w:pPr>
        <w:rPr>
          <w:color w:val="FF0000"/>
        </w:rPr>
      </w:pPr>
    </w:p>
    <w:p w:rsidR="00D73FC9" w:rsidRDefault="00D73FC9" w:rsidP="00D73FC9">
      <w:pPr>
        <w:rPr>
          <w:color w:val="FF0000"/>
        </w:rPr>
      </w:pPr>
      <w:r>
        <w:rPr>
          <w:color w:val="FF0000"/>
        </w:rPr>
        <w:t xml:space="preserve"> </w:t>
      </w:r>
    </w:p>
    <w:p w:rsidR="00BE7C21" w:rsidRPr="00910916" w:rsidRDefault="00BE7C21" w:rsidP="00D73FC9">
      <w:pPr>
        <w:rPr>
          <w:color w:val="FF0000"/>
        </w:rPr>
      </w:pPr>
    </w:p>
    <w:p w:rsidR="00670D6A" w:rsidRPr="00BE7C21" w:rsidRDefault="00BE7C2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1C1F" wp14:editId="0DD38304">
                <wp:simplePos x="0" y="0"/>
                <wp:positionH relativeFrom="column">
                  <wp:posOffset>95250</wp:posOffset>
                </wp:positionH>
                <wp:positionV relativeFrom="paragraph">
                  <wp:posOffset>120650</wp:posOffset>
                </wp:positionV>
                <wp:extent cx="490537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C9" w:rsidRDefault="00D73FC9" w:rsidP="007052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</w:rPr>
                            </w:pPr>
                            <w:r w:rsidRPr="00E0558A">
                              <w:rPr>
                                <w:sz w:val="18"/>
                              </w:rPr>
                              <w:t>Note:  Data are for fiscal ye</w:t>
                            </w:r>
                            <w:r>
                              <w:rPr>
                                <w:sz w:val="18"/>
                              </w:rPr>
                              <w:t>ar July 1, 2010 - June 30, 2011</w:t>
                            </w:r>
                            <w:r w:rsidRPr="00E0558A">
                              <w:rPr>
                                <w:sz w:val="18"/>
                              </w:rPr>
                              <w:t xml:space="preserve">.  </w:t>
                            </w:r>
                          </w:p>
                          <w:p w:rsidR="00D73FC9" w:rsidRPr="00E0558A" w:rsidRDefault="00D73FC9" w:rsidP="007052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</w:rPr>
                            </w:pPr>
                            <w:r w:rsidRPr="00E0558A">
                              <w:rPr>
                                <w:sz w:val="18"/>
                              </w:rPr>
                              <w:t>*Includes electronic journals, collections, databases, and monographs.  Networked Resources data for individual libraries are not applicable.  **There may be duplicate counts of electronic serial titles between Total and Grand Total.</w:t>
                            </w:r>
                          </w:p>
                          <w:p w:rsidR="00D73FC9" w:rsidRDefault="00D73FC9" w:rsidP="00D73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9.5pt;width:386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">
                <v:textbox>
                  <w:txbxContent>
                    <w:p w:rsidR="00D73FC9" w:rsidRDefault="00D73FC9" w:rsidP="007052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</w:rPr>
                      </w:pPr>
                      <w:r w:rsidRPr="00E0558A">
                        <w:rPr>
                          <w:sz w:val="18"/>
                        </w:rPr>
                        <w:t>Note:  Data are for fiscal ye</w:t>
                      </w:r>
                      <w:r>
                        <w:rPr>
                          <w:sz w:val="18"/>
                        </w:rPr>
                        <w:t>ar July 1, 2010 - June 30, 2011</w:t>
                      </w:r>
                      <w:r w:rsidRPr="00E0558A">
                        <w:rPr>
                          <w:sz w:val="18"/>
                        </w:rPr>
                        <w:t xml:space="preserve">.  </w:t>
                      </w:r>
                    </w:p>
                    <w:p w:rsidR="00D73FC9" w:rsidRPr="00E0558A" w:rsidRDefault="00D73FC9" w:rsidP="007052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</w:rPr>
                      </w:pPr>
                      <w:r w:rsidRPr="00E0558A">
                        <w:rPr>
                          <w:sz w:val="18"/>
                        </w:rPr>
                        <w:t>*Includes electronic journals, collections, databases, and monographs.  Networked Resources data for individual libraries are not applicable.  **There may be duplicate counts of electronic serial titles between Total and Grand Total.</w:t>
                      </w:r>
                    </w:p>
                    <w:p w:rsidR="00D73FC9" w:rsidRDefault="00D73FC9" w:rsidP="00D73FC9"/>
                  </w:txbxContent>
                </v:textbox>
              </v:shape>
            </w:pict>
          </mc:Fallback>
        </mc:AlternateContent>
      </w:r>
      <w:r w:rsidR="00670D6A">
        <w:br w:type="page"/>
      </w:r>
      <w:r w:rsidR="0071419B" w:rsidRPr="00BE7C21">
        <w:rPr>
          <w:b/>
        </w:rPr>
        <w:lastRenderedPageBreak/>
        <w:t>Appendix</w:t>
      </w:r>
      <w:r w:rsidRPr="00BE7C21">
        <w:rPr>
          <w:b/>
        </w:rPr>
        <w:t xml:space="preserve"> V.</w:t>
      </w:r>
      <w:r w:rsidRPr="00BE7C21">
        <w:rPr>
          <w:b/>
        </w:rPr>
        <w:tab/>
      </w:r>
      <w:r w:rsidR="0071419B" w:rsidRPr="00BE7C21">
        <w:rPr>
          <w:b/>
        </w:rPr>
        <w:t xml:space="preserve"> </w:t>
      </w:r>
      <w:r>
        <w:rPr>
          <w:b/>
        </w:rPr>
        <w:t>Ordering &amp; Cataloging Statistics over Five Years</w:t>
      </w:r>
    </w:p>
    <w:p w:rsidR="0071419B" w:rsidRDefault="0071419B"/>
    <w:tbl>
      <w:tblPr>
        <w:tblW w:w="8140" w:type="dxa"/>
        <w:tblInd w:w="108" w:type="dxa"/>
        <w:tblLook w:val="04A0" w:firstRow="1" w:lastRow="0" w:firstColumn="1" w:lastColumn="0" w:noHBand="0" w:noVBand="1"/>
      </w:tblPr>
      <w:tblGrid>
        <w:gridCol w:w="1675"/>
        <w:gridCol w:w="956"/>
        <w:gridCol w:w="948"/>
        <w:gridCol w:w="943"/>
        <w:gridCol w:w="925"/>
        <w:gridCol w:w="925"/>
        <w:gridCol w:w="953"/>
        <w:gridCol w:w="866"/>
      </w:tblGrid>
      <w:tr w:rsidR="00E512B9" w:rsidTr="00E512B9">
        <w:trPr>
          <w:trHeight w:val="76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change FY07 to FY11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change FY10 to FY11</w:t>
            </w:r>
          </w:p>
        </w:tc>
      </w:tr>
      <w:tr w:rsidR="00E512B9" w:rsidTr="00E512B9">
        <w:trPr>
          <w:trHeight w:val="51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TOTAL ORDERS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37,633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30,970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-2.9%</w:t>
            </w:r>
          </w:p>
        </w:tc>
      </w:tr>
      <w:tr w:rsidR="00E512B9" w:rsidTr="00E512B9">
        <w:trPr>
          <w:trHeight w:val="13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Monographic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 orders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19,578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19,592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19,995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-21.9%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-1.0%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Approvals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13,189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-4.6%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BLSO items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-75.2%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-13.2%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Books in series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-65.8%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-20.5%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 dups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-86.1%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-64.5%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Multiparts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-34.9%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45.6%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133.3%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82.6%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-77.6%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-66.7%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-14.8%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8.2%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Total Mono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33,324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 w:rsidP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18"/>
                <w:szCs w:val="20"/>
              </w:rPr>
              <w:t>35808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E512B9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 w:rsidP="00E512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18"/>
                <w:szCs w:val="20"/>
              </w:rPr>
              <w:t>30,504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-3.8%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Total Serials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59.4%</w:t>
            </w:r>
          </w:p>
        </w:tc>
      </w:tr>
      <w:tr w:rsidR="00E512B9" w:rsidTr="00E512B9">
        <w:trPr>
          <w:trHeight w:val="12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Orders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37,633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30,970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-2.9%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Average/month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3,136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-2.9%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Other orders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-33.2%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Gift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-9.9%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48.1%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Resources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-28.2%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-15.5%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Videos/DVDs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-7.5%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-20.6%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Kindle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-96.2%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-93.8%</w:t>
            </w:r>
          </w:p>
        </w:tc>
      </w:tr>
      <w:tr w:rsidR="00E512B9" w:rsidTr="00E512B9">
        <w:trPr>
          <w:trHeight w:val="13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B9" w:rsidTr="00E512B9">
        <w:trPr>
          <w:trHeight w:val="540"/>
        </w:trPr>
        <w:tc>
          <w:tcPr>
            <w:tcW w:w="4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B9" w:rsidRDefault="00E512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CATALOGING ACTIVITY (Acquisitions)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Monographs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14,190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-97.7%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-50.6%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Serial titles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232.6%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Scores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-46.2%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75.0%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Maps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All cataloging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B9" w:rsidRDefault="00E512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B9" w:rsidRDefault="00E512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14,303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-96.8%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-33.8%</w:t>
            </w:r>
          </w:p>
        </w:tc>
      </w:tr>
      <w:tr w:rsidR="00E512B9" w:rsidTr="00E512B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2B9" w:rsidRDefault="00E512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2B9" w:rsidRDefault="00E512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4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*Monograph replacements include serials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</w:tr>
      <w:tr w:rsidR="00E512B9" w:rsidTr="00E512B9">
        <w:trPr>
          <w:trHeight w:val="300"/>
        </w:trPr>
        <w:tc>
          <w:tcPr>
            <w:tcW w:w="7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#With FY07, counting approval slips with firm orders since they are ordered individually.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Default="00E512B9">
            <w:pPr>
              <w:rPr>
                <w:sz w:val="20"/>
                <w:szCs w:val="20"/>
              </w:rPr>
            </w:pPr>
          </w:p>
        </w:tc>
      </w:tr>
    </w:tbl>
    <w:p w:rsidR="00E512B9" w:rsidRDefault="00E512B9"/>
    <w:p w:rsidR="00907360" w:rsidRDefault="00BE7C21" w:rsidP="00BE7C21">
      <w:pPr>
        <w:rPr>
          <w:b/>
        </w:rPr>
      </w:pPr>
      <w:r>
        <w:rPr>
          <w:b/>
        </w:rPr>
        <w:lastRenderedPageBreak/>
        <w:t>Appendix VI.</w:t>
      </w:r>
      <w:r w:rsidR="00907360" w:rsidRPr="00907360">
        <w:rPr>
          <w:b/>
        </w:rPr>
        <w:t xml:space="preserve">   Records Maintenance Activities 3-Year Comparison</w:t>
      </w:r>
    </w:p>
    <w:p w:rsidR="00BE7C21" w:rsidRPr="00BE7C21" w:rsidRDefault="00BE7C21" w:rsidP="00BE7C21"/>
    <w:p w:rsidR="00907360" w:rsidRDefault="00907360" w:rsidP="005C2663"/>
    <w:tbl>
      <w:tblPr>
        <w:tblW w:w="9213" w:type="dxa"/>
        <w:tblInd w:w="93" w:type="dxa"/>
        <w:tblLook w:val="04A0" w:firstRow="1" w:lastRow="0" w:firstColumn="1" w:lastColumn="0" w:noHBand="0" w:noVBand="1"/>
      </w:tblPr>
      <w:tblGrid>
        <w:gridCol w:w="3813"/>
        <w:gridCol w:w="960"/>
        <w:gridCol w:w="1000"/>
        <w:gridCol w:w="1120"/>
        <w:gridCol w:w="400"/>
        <w:gridCol w:w="960"/>
        <w:gridCol w:w="960"/>
      </w:tblGrid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Records Maintenance Activities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FY 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FY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FY11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Added copy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Cancelled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Discard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Holdings update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Inactive (new)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titles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Recatalog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Retrospective conversion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 change (new)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 change (old)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Withdraw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ACTIONS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645"/>
        </w:trPr>
        <w:tc>
          <w:tcPr>
            <w:tcW w:w="7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60" w:rsidRDefault="009073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These statistics do not reflect any electronic resource counts (except for URL updates) as we don’t have any for these.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Serials Solutions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FY09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FY10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FY11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Database changes *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Title Changes  **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Serial subscription changes: print to digital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Serial subscriptions changes: cancellations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60" w:rsidRDefault="00907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-30.79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60" w:rsidRDefault="00907360">
            <w:pPr>
              <w:rPr>
                <w:color w:val="000000"/>
                <w:sz w:val="22"/>
                <w:szCs w:val="22"/>
              </w:rPr>
            </w:pPr>
          </w:p>
        </w:tc>
      </w:tr>
      <w:tr w:rsidR="00907360" w:rsidTr="00907360">
        <w:trPr>
          <w:trHeight w:val="675"/>
        </w:trPr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60" w:rsidRDefault="00907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color w:val="000000"/>
                <w:sz w:val="20"/>
                <w:szCs w:val="20"/>
              </w:rPr>
              <w:t xml:space="preserve"> includes changes made by all who makes changes in the database, including Cataloging &amp; Metadata, Serials Solutions Staff &amp; Acquisitions staff.</w:t>
            </w:r>
          </w:p>
        </w:tc>
      </w:tr>
      <w:tr w:rsidR="00907360" w:rsidTr="00907360">
        <w:trPr>
          <w:trHeight w:val="735"/>
        </w:trPr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60" w:rsidRDefault="009073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Database changes </w:t>
            </w:r>
            <w:r>
              <w:rPr>
                <w:color w:val="000000"/>
                <w:sz w:val="20"/>
                <w:szCs w:val="20"/>
              </w:rPr>
              <w:t>(selected or deselected databases, or updated title coverage from "we subscribe to all in the database" to "We subscribe to only some of the titles in this database.")</w:t>
            </w:r>
          </w:p>
        </w:tc>
      </w:tr>
      <w:tr w:rsidR="00907360" w:rsidTr="00907360">
        <w:trPr>
          <w:trHeight w:val="480"/>
        </w:trPr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60" w:rsidRDefault="009073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Title changes</w:t>
            </w:r>
            <w:r>
              <w:rPr>
                <w:color w:val="000000"/>
                <w:sz w:val="20"/>
                <w:szCs w:val="20"/>
              </w:rPr>
              <w:t xml:space="preserve"> (Includes URL changes or custom URL additions, coverage date changes, title selection or deselection.)</w:t>
            </w:r>
          </w:p>
        </w:tc>
      </w:tr>
    </w:tbl>
    <w:p w:rsidR="00907360" w:rsidRDefault="00907360" w:rsidP="005C2663"/>
    <w:p w:rsidR="00670D6A" w:rsidRPr="00907360" w:rsidRDefault="005C2663" w:rsidP="00BE7C21">
      <w:pPr>
        <w:rPr>
          <w:b/>
          <w:sz w:val="28"/>
        </w:rPr>
      </w:pPr>
      <w:r>
        <w:br w:type="page"/>
      </w:r>
      <w:r w:rsidR="00BE7C21">
        <w:rPr>
          <w:b/>
        </w:rPr>
        <w:lastRenderedPageBreak/>
        <w:t xml:space="preserve">Appendix VII:  </w:t>
      </w:r>
      <w:r w:rsidR="00AB5436">
        <w:rPr>
          <w:b/>
        </w:rPr>
        <w:t xml:space="preserve">Mission and FY12 </w:t>
      </w:r>
      <w:r w:rsidRPr="00907360">
        <w:rPr>
          <w:b/>
        </w:rPr>
        <w:t xml:space="preserve">Goals </w:t>
      </w:r>
      <w:r w:rsidR="00BE7C21">
        <w:rPr>
          <w:b/>
        </w:rPr>
        <w:t xml:space="preserve"> </w:t>
      </w:r>
    </w:p>
    <w:p w:rsidR="00AB5436" w:rsidRDefault="00AB5436" w:rsidP="00AB5436">
      <w:pPr>
        <w:pStyle w:val="NormalWeb"/>
      </w:pPr>
      <w:r>
        <w:t xml:space="preserve">Mission:  To provide exceptional support services for all collection development activities through prudent stewardship of the materials budget and strong working relations with our customers, colleagues and business partners. </w:t>
      </w:r>
    </w:p>
    <w:p w:rsidR="005C2663" w:rsidRPr="00BE7C21" w:rsidRDefault="00AB5436" w:rsidP="005C2663">
      <w:pPr>
        <w:pStyle w:val="NormalWeb"/>
        <w:rPr>
          <w:sz w:val="22"/>
        </w:rPr>
      </w:pPr>
      <w:r>
        <w:rPr>
          <w:sz w:val="22"/>
        </w:rPr>
        <w:t>Goals:</w:t>
      </w:r>
    </w:p>
    <w:p w:rsidR="005C2663" w:rsidRDefault="005C2663" w:rsidP="005C2663">
      <w:r>
        <w:t>Communication and Customer Service</w:t>
      </w:r>
    </w:p>
    <w:p w:rsidR="005C2663" w:rsidRDefault="005C2663" w:rsidP="007052EC">
      <w:pPr>
        <w:pStyle w:val="ListParagraph"/>
        <w:numPr>
          <w:ilvl w:val="0"/>
          <w:numId w:val="12"/>
        </w:numPr>
        <w:rPr>
          <w:sz w:val="22"/>
        </w:rPr>
      </w:pPr>
      <w:r>
        <w:t>Provide the highest quality customer service and support.</w:t>
      </w:r>
    </w:p>
    <w:p w:rsidR="005C2663" w:rsidRDefault="005C2663" w:rsidP="007052EC">
      <w:pPr>
        <w:pStyle w:val="ListParagraph"/>
        <w:numPr>
          <w:ilvl w:val="0"/>
          <w:numId w:val="12"/>
        </w:numPr>
      </w:pPr>
      <w:r>
        <w:t xml:space="preserve">Update content on Acquisitions webpage to better communicate services and processes. </w:t>
      </w:r>
    </w:p>
    <w:p w:rsidR="005C2663" w:rsidRDefault="005C2663" w:rsidP="007052EC">
      <w:pPr>
        <w:pStyle w:val="ListParagraph"/>
        <w:numPr>
          <w:ilvl w:val="0"/>
          <w:numId w:val="12"/>
        </w:numPr>
      </w:pPr>
      <w:r>
        <w:t xml:space="preserve">Develop a new Alumni Memorial Books Fund Program brochure.  </w:t>
      </w:r>
    </w:p>
    <w:p w:rsidR="005C2663" w:rsidRDefault="005C2663" w:rsidP="007052EC">
      <w:pPr>
        <w:pStyle w:val="ListParagraph"/>
        <w:numPr>
          <w:ilvl w:val="0"/>
          <w:numId w:val="13"/>
        </w:numPr>
      </w:pPr>
      <w:r>
        <w:t xml:space="preserve">Write regular </w:t>
      </w:r>
      <w:r>
        <w:rPr>
          <w:i/>
        </w:rPr>
        <w:t>Acquisitions Updates</w:t>
      </w:r>
      <w:r>
        <w:t xml:space="preserve"> for improved communication to bibliographers</w:t>
      </w:r>
    </w:p>
    <w:p w:rsidR="005C2663" w:rsidRDefault="005C2663" w:rsidP="005C2663">
      <w:pPr>
        <w:rPr>
          <w:b/>
          <w:sz w:val="28"/>
        </w:rPr>
      </w:pPr>
    </w:p>
    <w:p w:rsidR="005C2663" w:rsidRDefault="005C2663" w:rsidP="005C2663">
      <w:pPr>
        <w:rPr>
          <w:rFonts w:asciiTheme="minorHAnsi" w:hAnsiTheme="minorHAnsi" w:cstheme="minorBidi"/>
          <w:szCs w:val="22"/>
        </w:rPr>
      </w:pPr>
      <w:r>
        <w:t>Collection Development</w:t>
      </w:r>
    </w:p>
    <w:p w:rsidR="005C2663" w:rsidRDefault="005C2663" w:rsidP="007052EC">
      <w:pPr>
        <w:pStyle w:val="ListParagraph"/>
        <w:numPr>
          <w:ilvl w:val="0"/>
          <w:numId w:val="14"/>
        </w:numPr>
      </w:pPr>
      <w:r>
        <w:t>Incorporate Materials on Demand purchasing into the Rush Order Team workflow</w:t>
      </w:r>
    </w:p>
    <w:p w:rsidR="005C2663" w:rsidRDefault="005C2663" w:rsidP="007052EC">
      <w:pPr>
        <w:pStyle w:val="ListParagraph"/>
        <w:numPr>
          <w:ilvl w:val="0"/>
          <w:numId w:val="14"/>
        </w:numPr>
      </w:pPr>
      <w:r>
        <w:t xml:space="preserve">Review bibliographers’ serials lists to ensure that budget targets remain appropriate </w:t>
      </w:r>
    </w:p>
    <w:p w:rsidR="005C2663" w:rsidRDefault="005C2663" w:rsidP="007052EC">
      <w:pPr>
        <w:pStyle w:val="ListParagraph"/>
        <w:numPr>
          <w:ilvl w:val="0"/>
          <w:numId w:val="14"/>
        </w:numPr>
        <w:rPr>
          <w:sz w:val="22"/>
        </w:rPr>
      </w:pPr>
      <w:r>
        <w:t>Conduct a complete review of Coutts subject area profiles and adjust as recommended</w:t>
      </w:r>
    </w:p>
    <w:p w:rsidR="005C2663" w:rsidRDefault="005C2663" w:rsidP="007052EC">
      <w:pPr>
        <w:pStyle w:val="ListParagraph"/>
        <w:numPr>
          <w:ilvl w:val="0"/>
          <w:numId w:val="14"/>
        </w:numPr>
      </w:pPr>
      <w:r>
        <w:t xml:space="preserve">Consolidate major serial vendors to reduce overall costs, better utilize vendor services, and streamline workflow.    </w:t>
      </w:r>
    </w:p>
    <w:p w:rsidR="005C2663" w:rsidRDefault="005C2663" w:rsidP="005C2663">
      <w:pPr>
        <w:pStyle w:val="ListParagraph"/>
      </w:pPr>
    </w:p>
    <w:p w:rsidR="005C2663" w:rsidRDefault="005C2663" w:rsidP="005C2663">
      <w:r>
        <w:t>Department Administration, Staff Resources and Development</w:t>
      </w:r>
    </w:p>
    <w:p w:rsidR="005C2663" w:rsidRDefault="005C2663" w:rsidP="007052EC">
      <w:pPr>
        <w:pStyle w:val="ListParagraph"/>
        <w:numPr>
          <w:ilvl w:val="0"/>
          <w:numId w:val="15"/>
        </w:numPr>
        <w:rPr>
          <w:sz w:val="22"/>
        </w:rPr>
      </w:pPr>
      <w:r>
        <w:t>Hire Collection Assessment and Analysis Librarian</w:t>
      </w:r>
    </w:p>
    <w:p w:rsidR="005C2663" w:rsidRDefault="005C2663" w:rsidP="007052EC">
      <w:pPr>
        <w:pStyle w:val="ListParagraph"/>
        <w:numPr>
          <w:ilvl w:val="0"/>
          <w:numId w:val="15"/>
        </w:numPr>
      </w:pPr>
      <w:r>
        <w:t>Hire Vendor Specialist</w:t>
      </w:r>
    </w:p>
    <w:p w:rsidR="005C2663" w:rsidRDefault="005C2663" w:rsidP="007052EC">
      <w:pPr>
        <w:pStyle w:val="ListParagraph"/>
        <w:numPr>
          <w:ilvl w:val="0"/>
          <w:numId w:val="15"/>
        </w:numPr>
      </w:pPr>
      <w:r>
        <w:t>Develop orientations for new department staff</w:t>
      </w:r>
    </w:p>
    <w:p w:rsidR="005C2663" w:rsidRDefault="005C2663" w:rsidP="007052EC">
      <w:pPr>
        <w:pStyle w:val="ListParagraph"/>
        <w:numPr>
          <w:ilvl w:val="0"/>
          <w:numId w:val="15"/>
        </w:numPr>
      </w:pPr>
      <w:r>
        <w:t xml:space="preserve">Complete job audits and job description reviews </w:t>
      </w:r>
    </w:p>
    <w:p w:rsidR="005C2663" w:rsidRDefault="005C2663" w:rsidP="007052EC">
      <w:pPr>
        <w:pStyle w:val="ListParagraph"/>
        <w:numPr>
          <w:ilvl w:val="0"/>
          <w:numId w:val="15"/>
        </w:numPr>
      </w:pPr>
      <w:r>
        <w:t xml:space="preserve">Assess impact of the loss of the Financial Specialist position   </w:t>
      </w:r>
    </w:p>
    <w:p w:rsidR="005C2663" w:rsidRDefault="005C2663" w:rsidP="007052EC">
      <w:pPr>
        <w:pStyle w:val="ListParagraph"/>
        <w:numPr>
          <w:ilvl w:val="0"/>
          <w:numId w:val="15"/>
        </w:numPr>
      </w:pPr>
      <w:r>
        <w:t>Establish a records management retention policy for Alumni Memorial Books Program</w:t>
      </w:r>
    </w:p>
    <w:p w:rsidR="005C2663" w:rsidRDefault="005C2663" w:rsidP="007052EC">
      <w:pPr>
        <w:pStyle w:val="ListParagraph"/>
        <w:numPr>
          <w:ilvl w:val="0"/>
          <w:numId w:val="15"/>
        </w:numPr>
      </w:pPr>
      <w:r>
        <w:t>Participate in the HathiTrust Copyright Project beginning in December 2011 if the grant is awarded; assign .3 FTE</w:t>
      </w:r>
    </w:p>
    <w:p w:rsidR="005C2663" w:rsidRDefault="005C2663" w:rsidP="005C2663">
      <w:pPr>
        <w:pStyle w:val="ListParagraph"/>
      </w:pPr>
    </w:p>
    <w:p w:rsidR="005C2663" w:rsidRDefault="005C2663" w:rsidP="005C2663">
      <w:r>
        <w:t xml:space="preserve">Systems in Support of Collections </w:t>
      </w:r>
    </w:p>
    <w:p w:rsidR="005C2663" w:rsidRDefault="005C2663" w:rsidP="007052EC">
      <w:pPr>
        <w:pStyle w:val="ListParagraph"/>
        <w:numPr>
          <w:ilvl w:val="0"/>
          <w:numId w:val="16"/>
        </w:numPr>
      </w:pPr>
      <w:r>
        <w:t xml:space="preserve">Build ERM resource and license records;  write procedures for managing licenses and retrospective data entry; explore feasibility of utilizing ERM to track product offers and  trials </w:t>
      </w:r>
    </w:p>
    <w:p w:rsidR="005C2663" w:rsidRDefault="005C2663" w:rsidP="007052EC">
      <w:pPr>
        <w:pStyle w:val="ListParagraph"/>
        <w:numPr>
          <w:ilvl w:val="0"/>
          <w:numId w:val="16"/>
        </w:numPr>
      </w:pPr>
      <w:r>
        <w:t>Enhance FileMaker supporting the Financial Memorial &amp; Non-Memorial Gifts Program.</w:t>
      </w:r>
    </w:p>
    <w:p w:rsidR="005C2663" w:rsidRDefault="005C2663" w:rsidP="007052EC">
      <w:pPr>
        <w:pStyle w:val="ListParagraph"/>
        <w:numPr>
          <w:ilvl w:val="0"/>
          <w:numId w:val="16"/>
        </w:numPr>
      </w:pPr>
      <w:r>
        <w:t xml:space="preserve">Provide support </w:t>
      </w:r>
      <w:r w:rsidR="00DE3E28">
        <w:t>for</w:t>
      </w:r>
      <w:r>
        <w:t xml:space="preserve"> discovery systems such as SUMMON</w:t>
      </w:r>
    </w:p>
    <w:p w:rsidR="005C2663" w:rsidRDefault="005C2663" w:rsidP="007052EC">
      <w:pPr>
        <w:pStyle w:val="ListParagraph"/>
        <w:numPr>
          <w:ilvl w:val="0"/>
          <w:numId w:val="16"/>
        </w:numPr>
      </w:pPr>
      <w:r>
        <w:t>Test tracker system software for  monitoring digital access problems</w:t>
      </w:r>
    </w:p>
    <w:p w:rsidR="005C2663" w:rsidRPr="005C2663" w:rsidRDefault="005C2663" w:rsidP="007052EC">
      <w:pPr>
        <w:pStyle w:val="ListParagraph"/>
        <w:numPr>
          <w:ilvl w:val="0"/>
          <w:numId w:val="16"/>
        </w:numPr>
        <w:rPr>
          <w:sz w:val="22"/>
        </w:rPr>
      </w:pPr>
      <w:r>
        <w:t>Participate in remaining SwetsWise 6.0 beta test</w:t>
      </w:r>
    </w:p>
    <w:sectPr w:rsidR="005C2663" w:rsidRPr="005C2663" w:rsidSect="009D27CB">
      <w:footerReference w:type="default" r:id="rId10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EC" w:rsidRDefault="007052EC" w:rsidP="00DA6E96">
      <w:r>
        <w:separator/>
      </w:r>
    </w:p>
  </w:endnote>
  <w:endnote w:type="continuationSeparator" w:id="0">
    <w:p w:rsidR="007052EC" w:rsidRDefault="007052EC" w:rsidP="00DA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2634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D27CB" w:rsidRDefault="009D27CB">
            <w:pPr>
              <w:pStyle w:val="Footer"/>
              <w:jc w:val="right"/>
            </w:pPr>
            <w:r>
              <w:t xml:space="preserve">  </w:t>
            </w:r>
            <w:r>
              <w:rPr>
                <w:sz w:val="20"/>
              </w:rPr>
              <w:t xml:space="preserve">Acquisition Services </w:t>
            </w:r>
            <w:r w:rsidR="00130781">
              <w:rPr>
                <w:sz w:val="20"/>
              </w:rPr>
              <w:t xml:space="preserve">FY11 </w:t>
            </w:r>
            <w:r>
              <w:rPr>
                <w:sz w:val="20"/>
              </w:rPr>
              <w:t>Annual</w:t>
            </w:r>
            <w:r w:rsidR="00130781">
              <w:rPr>
                <w:sz w:val="20"/>
              </w:rPr>
              <w:t xml:space="preserve"> Report</w:t>
            </w:r>
            <w:r>
              <w:rPr>
                <w:sz w:val="20"/>
              </w:rPr>
              <w:t>_</w:t>
            </w:r>
            <w:r w:rsidR="00130781">
              <w:rPr>
                <w:sz w:val="20"/>
              </w:rPr>
              <w:t>08.05.2011_</w:t>
            </w:r>
            <w:r>
              <w:rPr>
                <w:sz w:val="20"/>
              </w:rPr>
              <w:t xml:space="preserve">jam             </w:t>
            </w:r>
            <w:r w:rsidRPr="009D27CB">
              <w:rPr>
                <w:sz w:val="20"/>
              </w:rPr>
              <w:t xml:space="preserve">Page </w:t>
            </w:r>
            <w:r w:rsidRPr="009D27CB">
              <w:rPr>
                <w:b/>
                <w:bCs/>
                <w:sz w:val="20"/>
              </w:rPr>
              <w:fldChar w:fldCharType="begin"/>
            </w:r>
            <w:r w:rsidRPr="009D27CB">
              <w:rPr>
                <w:b/>
                <w:bCs/>
                <w:sz w:val="20"/>
              </w:rPr>
              <w:instrText xml:space="preserve"> PAGE </w:instrText>
            </w:r>
            <w:r w:rsidRPr="009D27CB">
              <w:rPr>
                <w:b/>
                <w:bCs/>
                <w:sz w:val="20"/>
              </w:rPr>
              <w:fldChar w:fldCharType="separate"/>
            </w:r>
            <w:r w:rsidR="00C3605A">
              <w:rPr>
                <w:b/>
                <w:bCs/>
                <w:noProof/>
                <w:sz w:val="20"/>
              </w:rPr>
              <w:t>2</w:t>
            </w:r>
            <w:r w:rsidRPr="009D27CB">
              <w:rPr>
                <w:b/>
                <w:bCs/>
                <w:sz w:val="20"/>
              </w:rPr>
              <w:fldChar w:fldCharType="end"/>
            </w:r>
            <w:r w:rsidRPr="009D27CB">
              <w:rPr>
                <w:sz w:val="20"/>
              </w:rPr>
              <w:t xml:space="preserve"> of </w:t>
            </w:r>
            <w:r w:rsidRPr="009D27CB">
              <w:rPr>
                <w:b/>
                <w:bCs/>
                <w:sz w:val="20"/>
              </w:rPr>
              <w:fldChar w:fldCharType="begin"/>
            </w:r>
            <w:r w:rsidRPr="009D27CB">
              <w:rPr>
                <w:b/>
                <w:bCs/>
                <w:sz w:val="20"/>
              </w:rPr>
              <w:instrText xml:space="preserve"> NUMPAGES  </w:instrText>
            </w:r>
            <w:r w:rsidRPr="009D27CB">
              <w:rPr>
                <w:b/>
                <w:bCs/>
                <w:sz w:val="20"/>
              </w:rPr>
              <w:fldChar w:fldCharType="separate"/>
            </w:r>
            <w:r w:rsidR="00C3605A">
              <w:rPr>
                <w:b/>
                <w:bCs/>
                <w:noProof/>
                <w:sz w:val="20"/>
              </w:rPr>
              <w:t>13</w:t>
            </w:r>
            <w:r w:rsidRPr="009D27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D27CB" w:rsidRDefault="009D2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EC" w:rsidRDefault="007052EC" w:rsidP="00DA6E96">
      <w:r>
        <w:separator/>
      </w:r>
    </w:p>
  </w:footnote>
  <w:footnote w:type="continuationSeparator" w:id="0">
    <w:p w:rsidR="007052EC" w:rsidRDefault="007052EC" w:rsidP="00DA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611"/>
    <w:multiLevelType w:val="multilevel"/>
    <w:tmpl w:val="9DFE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11047"/>
    <w:multiLevelType w:val="hybridMultilevel"/>
    <w:tmpl w:val="6E0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75DF"/>
    <w:multiLevelType w:val="hybridMultilevel"/>
    <w:tmpl w:val="636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2B9"/>
    <w:multiLevelType w:val="hybridMultilevel"/>
    <w:tmpl w:val="637E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16CB4"/>
    <w:multiLevelType w:val="hybridMultilevel"/>
    <w:tmpl w:val="101E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01B8"/>
    <w:multiLevelType w:val="hybridMultilevel"/>
    <w:tmpl w:val="3CB0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838F6"/>
    <w:multiLevelType w:val="hybridMultilevel"/>
    <w:tmpl w:val="F25A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310F"/>
    <w:multiLevelType w:val="hybridMultilevel"/>
    <w:tmpl w:val="1D14F106"/>
    <w:lvl w:ilvl="0" w:tplc="F15CF0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B84184"/>
    <w:multiLevelType w:val="hybridMultilevel"/>
    <w:tmpl w:val="680A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44FD"/>
    <w:multiLevelType w:val="hybridMultilevel"/>
    <w:tmpl w:val="CF687CDC"/>
    <w:lvl w:ilvl="0" w:tplc="2084C7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8670D"/>
    <w:multiLevelType w:val="hybridMultilevel"/>
    <w:tmpl w:val="6324CE64"/>
    <w:lvl w:ilvl="0" w:tplc="2084C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A5354"/>
    <w:multiLevelType w:val="hybridMultilevel"/>
    <w:tmpl w:val="B98CB24E"/>
    <w:lvl w:ilvl="0" w:tplc="2084C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25D39"/>
    <w:multiLevelType w:val="hybridMultilevel"/>
    <w:tmpl w:val="35E2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5074C"/>
    <w:multiLevelType w:val="hybridMultilevel"/>
    <w:tmpl w:val="D6DA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C6533"/>
    <w:multiLevelType w:val="hybridMultilevel"/>
    <w:tmpl w:val="EA822520"/>
    <w:lvl w:ilvl="0" w:tplc="2084C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60FD6"/>
    <w:multiLevelType w:val="hybridMultilevel"/>
    <w:tmpl w:val="5BCA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30DFE"/>
    <w:multiLevelType w:val="hybridMultilevel"/>
    <w:tmpl w:val="78C4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61DC1"/>
    <w:multiLevelType w:val="hybridMultilevel"/>
    <w:tmpl w:val="51E29E2E"/>
    <w:lvl w:ilvl="0" w:tplc="2084C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17"/>
  </w:num>
  <w:num w:numId="10">
    <w:abstractNumId w:val="4"/>
  </w:num>
  <w:num w:numId="11">
    <w:abstractNumId w:val="12"/>
  </w:num>
  <w:num w:numId="12">
    <w:abstractNumId w:val="16"/>
  </w:num>
  <w:num w:numId="13">
    <w:abstractNumId w:val="1"/>
  </w:num>
  <w:num w:numId="14">
    <w:abstractNumId w:val="15"/>
  </w:num>
  <w:num w:numId="15">
    <w:abstractNumId w:val="2"/>
  </w:num>
  <w:num w:numId="16">
    <w:abstractNumId w:val="6"/>
  </w:num>
  <w:num w:numId="17">
    <w:abstractNumId w:val="8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70"/>
    <w:rsid w:val="0001445B"/>
    <w:rsid w:val="00032502"/>
    <w:rsid w:val="00041020"/>
    <w:rsid w:val="00045C85"/>
    <w:rsid w:val="0007560A"/>
    <w:rsid w:val="00075D40"/>
    <w:rsid w:val="00096EF6"/>
    <w:rsid w:val="000A1565"/>
    <w:rsid w:val="000A3D62"/>
    <w:rsid w:val="000B1AB1"/>
    <w:rsid w:val="000E7370"/>
    <w:rsid w:val="000F42AB"/>
    <w:rsid w:val="0010495B"/>
    <w:rsid w:val="00110936"/>
    <w:rsid w:val="00116955"/>
    <w:rsid w:val="00130781"/>
    <w:rsid w:val="00132C9E"/>
    <w:rsid w:val="001363A0"/>
    <w:rsid w:val="001451E9"/>
    <w:rsid w:val="001852CF"/>
    <w:rsid w:val="00196B28"/>
    <w:rsid w:val="001A2D6E"/>
    <w:rsid w:val="001C7A50"/>
    <w:rsid w:val="001F7CBF"/>
    <w:rsid w:val="002006ED"/>
    <w:rsid w:val="002047C3"/>
    <w:rsid w:val="002175F5"/>
    <w:rsid w:val="00221747"/>
    <w:rsid w:val="002250E0"/>
    <w:rsid w:val="00245006"/>
    <w:rsid w:val="002638ED"/>
    <w:rsid w:val="00273C16"/>
    <w:rsid w:val="002A37F1"/>
    <w:rsid w:val="002A6B41"/>
    <w:rsid w:val="002B6ED7"/>
    <w:rsid w:val="002D2CDB"/>
    <w:rsid w:val="002D547D"/>
    <w:rsid w:val="002D5D10"/>
    <w:rsid w:val="002D6164"/>
    <w:rsid w:val="002E591D"/>
    <w:rsid w:val="002F52BF"/>
    <w:rsid w:val="003075DB"/>
    <w:rsid w:val="003406CE"/>
    <w:rsid w:val="00340CEC"/>
    <w:rsid w:val="00353A7E"/>
    <w:rsid w:val="00372617"/>
    <w:rsid w:val="0037791E"/>
    <w:rsid w:val="003C6418"/>
    <w:rsid w:val="003D7AF8"/>
    <w:rsid w:val="00423E62"/>
    <w:rsid w:val="004314DD"/>
    <w:rsid w:val="0045038F"/>
    <w:rsid w:val="00456DF9"/>
    <w:rsid w:val="00457686"/>
    <w:rsid w:val="00490350"/>
    <w:rsid w:val="004A345B"/>
    <w:rsid w:val="004C2FA4"/>
    <w:rsid w:val="004D74E7"/>
    <w:rsid w:val="004E546D"/>
    <w:rsid w:val="004E6F62"/>
    <w:rsid w:val="004F495D"/>
    <w:rsid w:val="005042F6"/>
    <w:rsid w:val="00513129"/>
    <w:rsid w:val="005461E3"/>
    <w:rsid w:val="00566906"/>
    <w:rsid w:val="00574259"/>
    <w:rsid w:val="005744C3"/>
    <w:rsid w:val="005A4569"/>
    <w:rsid w:val="005A606C"/>
    <w:rsid w:val="005C2663"/>
    <w:rsid w:val="00601F93"/>
    <w:rsid w:val="0067061E"/>
    <w:rsid w:val="00670D6A"/>
    <w:rsid w:val="006E4878"/>
    <w:rsid w:val="007052EC"/>
    <w:rsid w:val="0071419B"/>
    <w:rsid w:val="00742DDB"/>
    <w:rsid w:val="00742FA9"/>
    <w:rsid w:val="00777037"/>
    <w:rsid w:val="00783DD8"/>
    <w:rsid w:val="00784AF5"/>
    <w:rsid w:val="007917FA"/>
    <w:rsid w:val="007B189E"/>
    <w:rsid w:val="007C56C0"/>
    <w:rsid w:val="00817C6D"/>
    <w:rsid w:val="00845D69"/>
    <w:rsid w:val="00875460"/>
    <w:rsid w:val="00897815"/>
    <w:rsid w:val="008C0DAC"/>
    <w:rsid w:val="008C7150"/>
    <w:rsid w:val="008D101F"/>
    <w:rsid w:val="00907360"/>
    <w:rsid w:val="00910916"/>
    <w:rsid w:val="009238C4"/>
    <w:rsid w:val="0093134D"/>
    <w:rsid w:val="00936A16"/>
    <w:rsid w:val="00936C7B"/>
    <w:rsid w:val="009378A9"/>
    <w:rsid w:val="0094465F"/>
    <w:rsid w:val="00945025"/>
    <w:rsid w:val="00955548"/>
    <w:rsid w:val="00956470"/>
    <w:rsid w:val="00964080"/>
    <w:rsid w:val="0099006C"/>
    <w:rsid w:val="009A6024"/>
    <w:rsid w:val="009A61BD"/>
    <w:rsid w:val="009D27CB"/>
    <w:rsid w:val="00A00CC1"/>
    <w:rsid w:val="00A140A6"/>
    <w:rsid w:val="00A14193"/>
    <w:rsid w:val="00A6092E"/>
    <w:rsid w:val="00A616FA"/>
    <w:rsid w:val="00AA2432"/>
    <w:rsid w:val="00AA6FC0"/>
    <w:rsid w:val="00AB16A2"/>
    <w:rsid w:val="00AB5436"/>
    <w:rsid w:val="00B021BC"/>
    <w:rsid w:val="00B277BC"/>
    <w:rsid w:val="00B34BAC"/>
    <w:rsid w:val="00B56C87"/>
    <w:rsid w:val="00B6266D"/>
    <w:rsid w:val="00B7323A"/>
    <w:rsid w:val="00B74097"/>
    <w:rsid w:val="00B80B96"/>
    <w:rsid w:val="00B9101E"/>
    <w:rsid w:val="00BA31BA"/>
    <w:rsid w:val="00BA5F18"/>
    <w:rsid w:val="00BB412A"/>
    <w:rsid w:val="00BE7C21"/>
    <w:rsid w:val="00BF00C3"/>
    <w:rsid w:val="00BF2127"/>
    <w:rsid w:val="00C3605A"/>
    <w:rsid w:val="00C47296"/>
    <w:rsid w:val="00C60B6D"/>
    <w:rsid w:val="00C639C0"/>
    <w:rsid w:val="00C95977"/>
    <w:rsid w:val="00CE3F39"/>
    <w:rsid w:val="00CE5792"/>
    <w:rsid w:val="00CF215B"/>
    <w:rsid w:val="00CF4EAD"/>
    <w:rsid w:val="00D129F0"/>
    <w:rsid w:val="00D15222"/>
    <w:rsid w:val="00D165D8"/>
    <w:rsid w:val="00D37FBE"/>
    <w:rsid w:val="00D4115D"/>
    <w:rsid w:val="00D57B91"/>
    <w:rsid w:val="00D73FC9"/>
    <w:rsid w:val="00D87144"/>
    <w:rsid w:val="00D9553B"/>
    <w:rsid w:val="00DA6E96"/>
    <w:rsid w:val="00DD66A3"/>
    <w:rsid w:val="00DE3E28"/>
    <w:rsid w:val="00DF6715"/>
    <w:rsid w:val="00E026DC"/>
    <w:rsid w:val="00E0558A"/>
    <w:rsid w:val="00E1535E"/>
    <w:rsid w:val="00E17261"/>
    <w:rsid w:val="00E31340"/>
    <w:rsid w:val="00E348F0"/>
    <w:rsid w:val="00E43EE0"/>
    <w:rsid w:val="00E512B9"/>
    <w:rsid w:val="00E71BE1"/>
    <w:rsid w:val="00E801FF"/>
    <w:rsid w:val="00E96914"/>
    <w:rsid w:val="00EA6B1B"/>
    <w:rsid w:val="00EB64E0"/>
    <w:rsid w:val="00EC2990"/>
    <w:rsid w:val="00F628DB"/>
    <w:rsid w:val="00F97498"/>
    <w:rsid w:val="00FB390B"/>
    <w:rsid w:val="00FC2CAD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F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8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3D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74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23E62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096EF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096EF6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021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A6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E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6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9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F628DB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F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8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3D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74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23E62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096EF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096EF6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021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A6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E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6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9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F628DB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9908-3B22-4848-B4D9-499DFE64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College Library</vt:lpstr>
    </vt:vector>
  </TitlesOfParts>
  <Company>Dartmouth College</Company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College Library</dc:title>
  <dc:creator>Microsoft Campus Agreement</dc:creator>
  <cp:lastModifiedBy>Judy Maynes</cp:lastModifiedBy>
  <cp:revision>10</cp:revision>
  <cp:lastPrinted>2011-08-05T20:27:00Z</cp:lastPrinted>
  <dcterms:created xsi:type="dcterms:W3CDTF">2011-08-05T19:14:00Z</dcterms:created>
  <dcterms:modified xsi:type="dcterms:W3CDTF">2011-08-05T20:28:00Z</dcterms:modified>
</cp:coreProperties>
</file>